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3F56" w:rsidR="195E3F56" w:rsidRPr="195E3F56" w:rsidP="195E3F56">
      <w:pPr>
        <w:pStyle w:val="ReportElementTitle"/>
        <w:color w:val="666666"/>
      </w:pPr>
      <w:r w:rsidRPr="195E3F56">
        <w:rPr>
          <w:lang w:val="en-US"/>
        </w:rPr>
        <w:t>Research outputs</w:t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 (2024). </w:t>
      </w:r>
      <w:r w:rsidRPr="195E3F56">
        <w:rPr>
          <w:lang w:val="en-US"/>
        </w:rPr>
        <w:t>Am Anfang war das Wunder: Legitimationsstrategien religiöser Orden im Vergleich</w:t>
      </w:r>
      <w:r w:rsidRPr="195E3F56">
        <w:rPr>
          <w:lang w:val="en-US"/>
        </w:rPr>
        <w:t xml:space="preserve">. In E. Koch, N. Nowakowski, &amp; J. Weitbrecht (Eds.), </w:t>
      </w:r>
      <w:r w:rsidRPr="195E3F56">
        <w:rPr>
          <w:i/>
          <w:lang w:val="en-US"/>
        </w:rPr>
        <w:t xml:space="preserve">Konfigurationen des Wunders: Texte, Praktiken und Funktionen in Spätantike, Mittelalter und Früher Neuzeit </w:t>
      </w:r>
      <w:r w:rsidRPr="195E3F56">
        <w:rPr>
          <w:lang w:val="en-US"/>
        </w:rPr>
        <w:t xml:space="preserve">(pp. 111–124). ‎Franz Steiner Verlag.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J. (2024). </w:t>
      </w:r>
      <w:r w:rsidRPr="195E3F56">
        <w:rPr>
          <w:lang w:val="en-US"/>
        </w:rPr>
        <w:t>Burchards Moses: Wenn man Rechtsgeschichte als Kulturgeschichte liest</w:t>
      </w:r>
      <w:r w:rsidRPr="195E3F56">
        <w:rPr>
          <w:lang w:val="en-US"/>
        </w:rPr>
        <w:t xml:space="preserve">. In </w:t>
      </w:r>
      <w:r w:rsidRPr="195E3F56">
        <w:rPr>
          <w:i/>
          <w:lang w:val="en-US"/>
        </w:rPr>
        <w:t xml:space="preserve">Burchard von Worms und die vorgratianischen Sammlungen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 (2024). </w:t>
      </w:r>
      <w:r w:rsidRPr="195E3F56">
        <w:rPr>
          <w:lang w:val="en-US"/>
        </w:rPr>
        <w:t>Das Kloster Corvey – ein Erfolgsmodell benediktinischen Lebens</w:t>
      </w:r>
      <w:r w:rsidRPr="195E3F56">
        <w:rPr>
          <w:lang w:val="en-US"/>
        </w:rPr>
        <w:t xml:space="preserve">. In H.-B. Krismanek, &amp; J. Kowalski (Eds.), </w:t>
      </w:r>
      <w:r w:rsidRPr="195E3F56">
        <w:rPr>
          <w:i/>
          <w:lang w:val="en-US"/>
        </w:rPr>
        <w:t xml:space="preserve">1200 Jahre Corvey: Wo der Himmel die Erde berührt </w:t>
      </w:r>
      <w:r w:rsidRPr="195E3F56">
        <w:rPr>
          <w:lang w:val="en-US"/>
        </w:rPr>
        <w:t xml:space="preserve">(pp. 115-117). Verlag Jörg Mitzkat. </w:t>
      </w:r>
      <w:r w:rsidRPr="195E3F56">
        <w:rPr>
          <w:lang w:val="en-US"/>
        </w:rPr>
        <w:t>https://welterbewestwerkcorvey.de/wp-content/uploads/Zeitreise_Corvey__Vortrag_Dr.-Breitenstein.pdf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, &amp; Linscheid-Burdich, S. (Eds.) (2024). </w:t>
      </w:r>
      <w:r w:rsidRPr="195E3F56">
        <w:rPr>
          <w:i/>
          <w:lang w:val="en-US"/>
        </w:rPr>
        <w:t>De interiori domo sive Liber de conscientia: Der Traktat „Vom inneren Haus“ oder „Das Buch vom Gewissen"</w:t>
      </w:r>
      <w:r w:rsidRPr="195E3F56">
        <w:rPr>
          <w:lang w:val="en-US"/>
        </w:rPr>
        <w:t>. Lit Verlag. Vita regularis : Ordnungen und Deutungen religiosen Lebens im Mittelalter : Editionen Vol. 7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J. (2024). </w:t>
      </w:r>
      <w:r w:rsidRPr="195E3F56">
        <w:rPr>
          <w:i/>
          <w:lang w:val="en-US"/>
        </w:rPr>
        <w:t>Der spielende Gott des Mittelalters: Eine kulturhistorische Annäherung</w:t>
      </w:r>
      <w:r w:rsidRPr="195E3F56">
        <w:rPr>
          <w:lang w:val="en-US"/>
        </w:rPr>
        <w:t>. Jan Thorbecke Verlag.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 (2024). </w:t>
      </w:r>
      <w:r w:rsidRPr="195E3F56">
        <w:rPr>
          <w:lang w:val="en-US"/>
        </w:rPr>
        <w:t>„Durch Schweigen bestellst Du dein Feld, durch das Wort bestellst du das Feld deines Nächsten.“: Zur Ambivalenz des Schweigens im klösterlichen Kontext</w:t>
      </w:r>
      <w:r w:rsidRPr="195E3F56">
        <w:rPr>
          <w:lang w:val="en-US"/>
        </w:rPr>
        <w:t xml:space="preserve">. In J. Becker, I. Kimpel, J. Narchi, &amp; B. Schneidmüller (Eds.), </w:t>
      </w:r>
      <w:r w:rsidRPr="195E3F56">
        <w:rPr>
          <w:i/>
          <w:lang w:val="en-US"/>
        </w:rPr>
        <w:t xml:space="preserve">(Er-)Leben von Spiritualität: Die fünf Sinne in religiösen Gemeinschaften des Mittelalters </w:t>
      </w:r>
      <w:r w:rsidRPr="195E3F56">
        <w:rPr>
          <w:lang w:val="en-US"/>
        </w:rPr>
        <w:t xml:space="preserve">(pp. 203-215). Schnell &amp; Steiner.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 (2024). </w:t>
      </w:r>
      <w:r w:rsidRPr="195E3F56">
        <w:rPr>
          <w:lang w:val="en-US"/>
        </w:rPr>
        <w:t>Examination – Prayer – Confession: Literary Models for Pastoral Care in 12th century Western Monasteries</w:t>
      </w:r>
      <w:r w:rsidRPr="195E3F56">
        <w:rPr>
          <w:lang w:val="en-US"/>
        </w:rPr>
        <w:t xml:space="preserve">. In T. Ohnuki, G. Melville, Y. Akae, &amp; K. Takeda (Eds.), </w:t>
      </w:r>
      <w:r w:rsidRPr="195E3F56">
        <w:rPr>
          <w:i/>
          <w:lang w:val="en-US"/>
        </w:rPr>
        <w:t xml:space="preserve">Pastoral Care and Monasticism in Latin Christianity and Japanese Buddhism: (ca. 800-1650) </w:t>
      </w:r>
      <w:r w:rsidRPr="195E3F56">
        <w:rPr>
          <w:lang w:val="en-US"/>
        </w:rPr>
        <w:t xml:space="preserve">(pp. 49-59). LIT, Münster.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J. (2024). </w:t>
      </w:r>
      <w:r w:rsidRPr="195E3F56">
        <w:rPr>
          <w:lang w:val="en-US"/>
        </w:rPr>
        <w:t>Playing with God: Games as Tools of Pastoral Preaching in the Late Middle Ages</w:t>
      </w:r>
      <w:r w:rsidRPr="195E3F56">
        <w:rPr>
          <w:lang w:val="en-US"/>
        </w:rPr>
        <w:t xml:space="preserve">. In </w:t>
      </w:r>
      <w:r w:rsidRPr="195E3F56">
        <w:rPr>
          <w:i/>
          <w:lang w:val="en-US"/>
        </w:rPr>
        <w:t xml:space="preserve">Pastoral Care and Monasticism in Latin Christianity and Japanese Buddhism (ca. 800-1650) </w:t>
      </w:r>
      <w:r w:rsidRPr="195E3F56">
        <w:rPr>
          <w:lang w:val="en-US"/>
        </w:rPr>
        <w:t>(pp. 123-136)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 (2024). </w:t>
      </w:r>
      <w:r w:rsidRPr="195E3F56">
        <w:rPr>
          <w:lang w:val="en-US"/>
        </w:rPr>
        <w:t>Vom Sichtbaren zum Unsichtbaren: Ziele menschlicher Aufmerksamkeit im Traktat „Vom inneren Haus“</w:t>
      </w:r>
      <w:r w:rsidRPr="195E3F56">
        <w:rPr>
          <w:lang w:val="en-US"/>
        </w:rPr>
        <w:t xml:space="preserve">. In M. Butz, B. Kellner , S. Reichlin, &amp; A. Rugel (Eds.), </w:t>
      </w:r>
      <w:r w:rsidRPr="195E3F56">
        <w:rPr>
          <w:i/>
          <w:lang w:val="en-US"/>
        </w:rPr>
        <w:t xml:space="preserve">Aufmerksamkeit und Wachsamkeit: Praktiken und Semantiken in der mittelalterlichen Literatur und Frömmigkeit </w:t>
      </w:r>
      <w:r w:rsidRPr="195E3F56">
        <w:rPr>
          <w:lang w:val="en-US"/>
        </w:rPr>
        <w:t xml:space="preserve">(pp. 203-218). de Gruyter. </w:t>
      </w:r>
      <w:r w:rsidRPr="195E3F56">
        <w:rPr>
          <w:lang w:val="en-US"/>
        </w:rPr>
        <w:t>https://doi.org/10.1515/9783111320137-008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J. (2023). </w:t>
      </w:r>
      <w:r w:rsidRPr="195E3F56">
        <w:rPr>
          <w:lang w:val="en-US"/>
        </w:rPr>
        <w:t>Jenseits der Zeit? Konzepte zur Ritualisierung von Ewigkeit im monastischen Leben des 12. Jahrhunderts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 xml:space="preserve"> Interfaces : a journal of medieval European literatures</w:t>
      </w:r>
      <w:r w:rsidRPr="195E3F56">
        <w:rPr>
          <w:lang w:val="en-US"/>
        </w:rPr>
        <w:t xml:space="preserve">, </w:t>
      </w:r>
      <w:r w:rsidRPr="195E3F56">
        <w:rPr>
          <w:i/>
          <w:lang w:val="en-US"/>
        </w:rPr>
        <w:t>2023</w:t>
      </w:r>
      <w:r w:rsidRPr="195E3F56">
        <w:rPr>
          <w:lang w:val="en-US"/>
        </w:rPr>
        <w:t xml:space="preserve">(10), 17-37. </w:t>
      </w:r>
      <w:r w:rsidRPr="195E3F56">
        <w:rPr>
          <w:lang w:val="en-US"/>
        </w:rPr>
        <w:t>https://doi.org/10.54103/interfaces-10-03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J. (2023). </w:t>
      </w:r>
      <w:r w:rsidRPr="195E3F56">
        <w:rPr>
          <w:lang w:val="en-US"/>
        </w:rPr>
        <w:t>Consolidation and Differentiation: A Panorama oft he Hierarchical and Economic Organisation among the Regular Canons</w:t>
      </w:r>
      <w:r w:rsidRPr="195E3F56">
        <w:rPr>
          <w:lang w:val="en-US"/>
        </w:rPr>
        <w:t xml:space="preserve">. In </w:t>
      </w:r>
      <w:r w:rsidRPr="195E3F56">
        <w:rPr>
          <w:i/>
          <w:lang w:val="en-US"/>
        </w:rPr>
        <w:t xml:space="preserve">Secundum evangelium Christi et vitam apostolicam </w:t>
      </w:r>
      <w:r w:rsidRPr="195E3F56">
        <w:rPr>
          <w:lang w:val="en-US"/>
        </w:rPr>
        <w:t>(pp. 157–175)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 (2023). </w:t>
      </w:r>
      <w:r w:rsidRPr="195E3F56">
        <w:rPr>
          <w:lang w:val="en-US"/>
        </w:rPr>
        <w:t>Die tönende Stille: Vom Klang des klösterlichen Schweigens</w:t>
      </w:r>
      <w:r w:rsidRPr="195E3F56">
        <w:rPr>
          <w:lang w:val="en-US"/>
        </w:rPr>
        <w:t xml:space="preserve">. In N. Jaspert, &amp; H. Müller (Eds.), </w:t>
      </w:r>
      <w:r w:rsidRPr="195E3F56">
        <w:rPr>
          <w:i/>
          <w:lang w:val="en-US"/>
        </w:rPr>
        <w:t xml:space="preserve">Klangräume des Mittelalters </w:t>
      </w:r>
      <w:r w:rsidRPr="195E3F56">
        <w:rPr>
          <w:lang w:val="en-US"/>
        </w:rPr>
        <w:t xml:space="preserve">(pp. 91–125). Jan Thorbecke Verlag.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V.</w:t>
      </w:r>
      <w:r w:rsidRPr="195E3F56">
        <w:rPr>
          <w:lang w:val="en-US"/>
        </w:rPr>
        <w:t xml:space="preserve"> (2023). </w:t>
      </w:r>
      <w:r w:rsidRPr="195E3F56">
        <w:rPr>
          <w:lang w:val="en-US"/>
        </w:rPr>
        <w:t>Diffusion des exempla de Pierre Damien dans la traduction russe du Magnum speculum exemplorum, le Velikoje zertsalo (xviie s.)</w:t>
      </w:r>
      <w:r w:rsidRPr="195E3F56">
        <w:rPr>
          <w:lang w:val="en-US"/>
        </w:rPr>
        <w:t xml:space="preserve">. In P. Henriet, &amp; M. A. Polo de Beaulieu (Eds.), </w:t>
      </w:r>
      <w:r w:rsidRPr="195E3F56">
        <w:rPr>
          <w:i/>
          <w:lang w:val="en-US"/>
        </w:rPr>
        <w:t xml:space="preserve">Pierre Damien et les exempla. Stratégies d'auteur et réception </w:t>
      </w:r>
      <w:r w:rsidRPr="195E3F56">
        <w:rPr>
          <w:lang w:val="en-US"/>
        </w:rPr>
        <w:t xml:space="preserve">(pp. 189-209). Classiques Garnier.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V. (Ed.)</w:t>
      </w:r>
      <w:r w:rsidRPr="195E3F56">
        <w:rPr>
          <w:lang w:val="en-US"/>
        </w:rPr>
        <w:t xml:space="preserve"> (2023). </w:t>
      </w:r>
      <w:r w:rsidRPr="195E3F56">
        <w:rPr>
          <w:i/>
          <w:lang w:val="en-US"/>
        </w:rPr>
        <w:t>Fasciculus moralitatis: Omelie morales de Infantia Saluatoris: Caesarius von Heisterbach</w:t>
      </w:r>
      <w:r w:rsidRPr="195E3F56">
        <w:rPr>
          <w:lang w:val="en-US"/>
        </w:rPr>
        <w:t xml:space="preserve">. Karolinum Press. Prague Medieval Studies </w:t>
      </w:r>
      <w:r w:rsidRPr="195E3F56">
        <w:rPr>
          <w:lang w:val="en-US"/>
        </w:rPr>
        <w:t>https://doi.org/10.14712/9788024656045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 (2023). </w:t>
      </w:r>
      <w:r w:rsidRPr="195E3F56">
        <w:rPr>
          <w:lang w:val="en-US"/>
        </w:rPr>
        <w:t>Grenzüberschreitungen am Rande und in der Welt: Das dreifache Leben des venezianischen Fernhändlers Niccolò de’ Conti aus der Mitte des 15. Jahrhunderts</w:t>
      </w:r>
      <w:r w:rsidRPr="195E3F56">
        <w:rPr>
          <w:lang w:val="en-US"/>
        </w:rPr>
        <w:t xml:space="preserve">. In F. Panarelli (Ed.), </w:t>
      </w:r>
      <w:r w:rsidRPr="195E3F56">
        <w:rPr>
          <w:i/>
          <w:lang w:val="en-US"/>
        </w:rPr>
        <w:t xml:space="preserve">Von Aachen bis Akkon. Grenzüberschreitungen im Mittelalter: FS Hubert Houben </w:t>
      </w:r>
      <w:r w:rsidRPr="195E3F56">
        <w:rPr>
          <w:lang w:val="en-US"/>
        </w:rPr>
        <w:t xml:space="preserve">(pp. 63-86).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J. (2023). </w:t>
      </w:r>
      <w:r w:rsidRPr="195E3F56">
        <w:rPr>
          <w:lang w:val="en-US"/>
        </w:rPr>
        <w:t>Hybride Perfektion: Verheiligungstechniken im Optimierungswettbewerb religiöser Gemeinschaften des Hochmittelalters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Historisches Jahrbuch</w:t>
      </w:r>
      <w:r w:rsidRPr="195E3F56">
        <w:rPr>
          <w:lang w:val="en-US"/>
        </w:rPr>
        <w:t xml:space="preserve">, </w:t>
      </w:r>
      <w:r w:rsidRPr="195E3F56">
        <w:rPr>
          <w:i/>
          <w:lang w:val="en-US"/>
        </w:rPr>
        <w:t>2023</w:t>
      </w:r>
      <w:r w:rsidRPr="195E3F56">
        <w:rPr>
          <w:lang w:val="en-US"/>
        </w:rPr>
        <w:t>(143), 5-27.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J., &amp; Melville, G. (Eds.) (2023). </w:t>
      </w:r>
      <w:r w:rsidRPr="195E3F56">
        <w:rPr>
          <w:i/>
          <w:lang w:val="en-US"/>
        </w:rPr>
        <w:t>Mechanismen des Innovativen im klösterlichen Leben des hohen Mittelalters</w:t>
      </w:r>
      <w:r w:rsidRPr="195E3F56">
        <w:rPr>
          <w:lang w:val="en-US"/>
        </w:rPr>
        <w:t>. Schnell &amp; Steiner Verlagsgruppe. Klöster als Innovationslabore : Studien und Texte Vol. 12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V.</w:t>
      </w:r>
      <w:r w:rsidRPr="195E3F56">
        <w:rPr>
          <w:lang w:val="en-US"/>
        </w:rPr>
        <w:t xml:space="preserve"> (2023). </w:t>
      </w:r>
      <w:r w:rsidRPr="195E3F56">
        <w:rPr>
          <w:i/>
          <w:lang w:val="en-US"/>
        </w:rPr>
        <w:t>Medieval Exempla in Transition: Caesarius of Heisterbach’s Dialogus miraculorum and its Readers</w:t>
      </w:r>
      <w:r w:rsidRPr="195E3F56">
        <w:rPr>
          <w:lang w:val="en-US"/>
        </w:rPr>
        <w:t xml:space="preserve">. Cistercian Publications. Cistercian studies series : CS Vol. 296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J. (2023). </w:t>
      </w:r>
      <w:r w:rsidRPr="195E3F56">
        <w:rPr>
          <w:lang w:val="en-US"/>
        </w:rPr>
        <w:t>Old Material and New Perspectives: Master Ingold’s ‘Golden Game’</w:t>
      </w:r>
      <w:r w:rsidRPr="195E3F56">
        <w:rPr>
          <w:lang w:val="en-US"/>
        </w:rPr>
        <w:t xml:space="preserve">. In P. Rychterová, &amp; J. Odstrcilik (Eds.), </w:t>
      </w:r>
      <w:r w:rsidRPr="195E3F56">
        <w:rPr>
          <w:i/>
          <w:lang w:val="en-US"/>
        </w:rPr>
        <w:t xml:space="preserve">Translations and Their Readers </w:t>
      </w:r>
      <w:r w:rsidRPr="195E3F56">
        <w:rPr>
          <w:lang w:val="en-US"/>
        </w:rPr>
        <w:t>(pp. 185-203)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 (2023). </w:t>
      </w:r>
      <w:r w:rsidRPr="195E3F56">
        <w:rPr>
          <w:lang w:val="en-US"/>
        </w:rPr>
        <w:t>Ordenssatire ohne Orden: Guiot de Provins über die Antoniter</w:t>
      </w:r>
      <w:r w:rsidRPr="195E3F56">
        <w:rPr>
          <w:lang w:val="en-US"/>
        </w:rPr>
        <w:t xml:space="preserve">. In K. Hering (Ed.), </w:t>
      </w:r>
      <w:r w:rsidRPr="195E3F56">
        <w:rPr>
          <w:i/>
          <w:lang w:val="en-US"/>
        </w:rPr>
        <w:t xml:space="preserve">Klosterleben in der Kritik: Geschichts- und literaturwissenschaftliche Perspektiven auf Herabwürdigungen des Religiosentums in Mittelalter und Reformationszeit </w:t>
      </w:r>
      <w:r w:rsidRPr="195E3F56">
        <w:rPr>
          <w:lang w:val="en-US"/>
        </w:rPr>
        <w:t xml:space="preserve">(pp. 117–128). LIT, Münster.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 (2023). </w:t>
      </w:r>
      <w:r w:rsidRPr="195E3F56">
        <w:rPr>
          <w:lang w:val="en-US"/>
        </w:rPr>
        <w:t>Text gestalten: Schrift als Medium von Innovation</w:t>
      </w:r>
      <w:r w:rsidRPr="195E3F56">
        <w:rPr>
          <w:lang w:val="en-US"/>
        </w:rPr>
        <w:t xml:space="preserve">. In J. Sonntag, &amp; G. Melville (Eds.), </w:t>
      </w:r>
      <w:r w:rsidRPr="195E3F56">
        <w:rPr>
          <w:i/>
          <w:lang w:val="en-US"/>
        </w:rPr>
        <w:t xml:space="preserve">Mechanismen des Innovativen im klösterlichen Leben des hohen Mittelalters </w:t>
      </w:r>
      <w:r w:rsidRPr="195E3F56">
        <w:rPr>
          <w:lang w:val="en-US"/>
        </w:rPr>
        <w:t xml:space="preserve">(pp. 53–74). Schnell &amp; Steiner.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Sonntag, J. (2023). </w:t>
      </w:r>
      <w:r w:rsidRPr="195E3F56">
        <w:rPr>
          <w:lang w:val="en-US"/>
        </w:rPr>
        <w:t>Vom Messgesang zum Würfelspiel: Spielende Klosterleute in der Sozialkritik des späten Mittelalters</w:t>
      </w:r>
      <w:r w:rsidRPr="195E3F56">
        <w:rPr>
          <w:lang w:val="en-US"/>
        </w:rPr>
        <w:t xml:space="preserve">. In K. Hering (Ed.), </w:t>
      </w:r>
      <w:r w:rsidRPr="195E3F56">
        <w:rPr>
          <w:i/>
          <w:lang w:val="en-US"/>
        </w:rPr>
        <w:t xml:space="preserve">Klosterleben in der Kritik: Geschichts- und literaturwissenschaftliche Perspektiven auf Herabwürdigungen des Religiosentums in Mittelalter und Reformationszeit </w:t>
      </w:r>
      <w:r w:rsidRPr="195E3F56">
        <w:rPr>
          <w:lang w:val="en-US"/>
        </w:rPr>
        <w:t xml:space="preserve">(pp. 145-162). Lit Verlag.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 (2022). </w:t>
      </w:r>
      <w:r w:rsidRPr="195E3F56">
        <w:rPr>
          <w:lang w:val="en-US"/>
        </w:rPr>
        <w:t>Beten lernen, aber wie? Franziskanische Gebetsanleitungen des 13. Jahrhunderts</w:t>
      </w:r>
      <w:r w:rsidRPr="195E3F56">
        <w:rPr>
          <w:lang w:val="en-US"/>
        </w:rPr>
        <w:t xml:space="preserve">. In M. Delgado, &amp; V. Leppin (Eds.), </w:t>
      </w:r>
      <w:r w:rsidRPr="195E3F56">
        <w:rPr>
          <w:i/>
          <w:lang w:val="en-US"/>
        </w:rPr>
        <w:t xml:space="preserve">Homo orans : Das Gebet im Christentum und in anderen Religionen </w:t>
      </w:r>
      <w:r w:rsidRPr="195E3F56">
        <w:rPr>
          <w:lang w:val="en-US"/>
        </w:rPr>
        <w:t xml:space="preserve">(pp. 183–206). Kohlhammer Verlag.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 (2022). </w:t>
      </w:r>
      <w:r w:rsidRPr="195E3F56">
        <w:rPr>
          <w:lang w:val="en-US"/>
        </w:rPr>
        <w:t>Die Consolatio optima in temptationibus: Zu einer Gruppe von Texten gegen Kleinmut und Gewissensskrupel, mit Texteditionen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Mittellateinisches Jahrbuch : internationale Zeitschrift für Mediävistik und Humanismusforschung</w:t>
      </w:r>
      <w:r w:rsidRPr="195E3F56">
        <w:rPr>
          <w:lang w:val="en-US"/>
        </w:rPr>
        <w:t xml:space="preserve">, </w:t>
      </w:r>
      <w:r w:rsidRPr="195E3F56">
        <w:rPr>
          <w:i/>
          <w:lang w:val="en-US"/>
        </w:rPr>
        <w:t>57</w:t>
      </w:r>
      <w:r w:rsidRPr="195E3F56">
        <w:rPr>
          <w:lang w:val="en-US"/>
        </w:rPr>
        <w:t xml:space="preserve">(3), 384–427. </w:t>
      </w:r>
      <w:r w:rsidRPr="195E3F56">
        <w:rPr>
          <w:lang w:val="en-US"/>
        </w:rPr>
        <w:t>https://doi.org/10.36191/mjb/2022-57-3-2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 (2022). </w:t>
      </w:r>
      <w:r w:rsidRPr="195E3F56">
        <w:rPr>
          <w:lang w:val="en-US"/>
        </w:rPr>
        <w:t>Maulesel-Poet vs. Maulesel-Theologe. Subversion und Invektivität bei humanistischen Kontroversen zu Anfang des 16. Jahrhunderts.</w:t>
      </w:r>
      <w:r w:rsidRPr="195E3F56">
        <w:rPr>
          <w:lang w:val="en-US"/>
        </w:rPr>
        <w:t xml:space="preserve"> In B. Kaschek (Ed.), </w:t>
      </w:r>
      <w:r w:rsidRPr="195E3F56">
        <w:rPr>
          <w:i/>
          <w:lang w:val="en-US"/>
        </w:rPr>
        <w:t xml:space="preserve">Das subversive Bild. : FS Jürgen Müller </w:t>
      </w:r>
      <w:r w:rsidRPr="195E3F56">
        <w:rPr>
          <w:lang w:val="en-US"/>
        </w:rPr>
        <w:t xml:space="preserve">(pp. 63-82).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V.</w:t>
      </w:r>
      <w:r w:rsidRPr="195E3F56">
        <w:rPr>
          <w:lang w:val="en-US"/>
        </w:rPr>
        <w:t xml:space="preserve"> (2022). </w:t>
      </w:r>
      <w:r w:rsidRPr="195E3F56">
        <w:rPr>
          <w:lang w:val="en-US"/>
        </w:rPr>
        <w:t>Raconter des histoires dans une communauté soumise au silence: les Cisterciens et leurs exempla (XIIe-XIIIe siècles)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 xml:space="preserve"> L' Atelier du Centre de Recherches Historiques : revue électronique du CRH</w:t>
      </w:r>
      <w:r w:rsidRPr="195E3F56">
        <w:rPr>
          <w:lang w:val="en-US"/>
        </w:rPr>
        <w:t xml:space="preserve">, </w:t>
      </w:r>
      <w:r w:rsidRPr="195E3F56">
        <w:rPr>
          <w:i/>
          <w:lang w:val="en-US"/>
        </w:rPr>
        <w:t>2022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>https://doi.org/10.4000/acrh.26213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 (2022). </w:t>
      </w:r>
      <w:r w:rsidRPr="195E3F56">
        <w:rPr>
          <w:lang w:val="en-US"/>
        </w:rPr>
        <w:t>Venedig als Brücke zwischen Deutschland und Italien.</w:t>
      </w:r>
      <w:r w:rsidRPr="195E3F56">
        <w:rPr>
          <w:lang w:val="en-US"/>
        </w:rPr>
        <w:t xml:space="preserve"> In H. Houben (Ed.), </w:t>
      </w:r>
      <w:r w:rsidRPr="195E3F56">
        <w:rPr>
          <w:i/>
          <w:lang w:val="en-US"/>
        </w:rPr>
        <w:t xml:space="preserve">Akkon – Venedig – Marienburg.: Mobilität und Immobilität im Deutschen Orden. Tagungsakten </w:t>
      </w:r>
      <w:r w:rsidRPr="195E3F56">
        <w:rPr>
          <w:lang w:val="en-US"/>
        </w:rPr>
        <w:t xml:space="preserve">(pp. 87-107).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Steinhauser, C., Putz, J., Yakaç, A. E., Füssel, S.</w:t>
      </w:r>
      <w:r w:rsidRPr="195E3F56">
        <w:rPr>
          <w:lang w:val="en-US"/>
        </w:rPr>
        <w:t>, Kromnik, S.</w:t>
      </w:r>
      <w:r w:rsidRPr="195E3F56">
        <w:rPr>
          <w:lang w:val="en-US"/>
        </w:rPr>
        <w:t xml:space="preserve">, Markgraf, W., Talhofer, P., Thiele, C., Malberg, H., Mühle, R., &amp; Löffler, W. (2021). </w:t>
      </w:r>
      <w:r w:rsidRPr="195E3F56">
        <w:rPr>
          <w:lang w:val="en-US"/>
        </w:rPr>
        <w:t>KIM-1 shows potential to be predictive of re-perfusion damage in porcine kidneys during normothermic whole-blood machine perfusion</w:t>
      </w:r>
      <w:r w:rsidRPr="195E3F56">
        <w:rPr>
          <w:lang w:val="en-US"/>
        </w:rPr>
        <w:t xml:space="preserve">. In </w:t>
      </w:r>
      <w:r w:rsidRPr="195E3F56">
        <w:rPr>
          <w:i/>
          <w:lang w:val="en-US"/>
        </w:rPr>
        <w:t xml:space="preserve">Der Urologe 2021 (Suppl. 1): Abstracts des 73. Kongresses der Deutschen Gesellschaft für Urologie e. V. </w:t>
      </w:r>
      <w:r w:rsidRPr="195E3F56">
        <w:rPr>
          <w:lang w:val="en-US"/>
        </w:rPr>
        <w:t xml:space="preserve">(Suppl 1 ed., Vol. 60). Article V06.1 Springer-Medizin Verlag. </w:t>
      </w:r>
      <w:r w:rsidRPr="195E3F56">
        <w:rPr>
          <w:lang w:val="en-US"/>
        </w:rPr>
        <w:t>https://doi.org/10.1007/s00120-021-01626-1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U., Kraus, M., &amp; Sasso, L. (2021). </w:t>
      </w:r>
      <w:r w:rsidRPr="195E3F56">
        <w:rPr>
          <w:lang w:val="en-US"/>
        </w:rPr>
        <w:t>Agonale Invektivität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Das Mittelalter. Perspektiven mediävistischer Forschung</w:t>
      </w:r>
      <w:r w:rsidRPr="195E3F56">
        <w:rPr>
          <w:lang w:val="en-US"/>
        </w:rPr>
        <w:t>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 (2021). </w:t>
      </w:r>
      <w:r w:rsidRPr="195E3F56">
        <w:rPr>
          <w:i/>
          <w:lang w:val="en-US"/>
        </w:rPr>
        <w:t>I benedettini</w:t>
      </w:r>
      <w:r w:rsidRPr="195E3F56">
        <w:rPr>
          <w:lang w:val="en-US"/>
        </w:rPr>
        <w:t>. Il Mulino. Universal Paperbacks il Mulino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 (2021). </w:t>
      </w:r>
      <w:r w:rsidRPr="195E3F56">
        <w:rPr>
          <w:lang w:val="en-US"/>
        </w:rPr>
        <w:t>Klostereintritt und -austritt als Gegenstand von Konzilsbeschlüssen: Ein Überblick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Annales historiae conciliorum : journal for the history of councils: Konziliengeschichte</w:t>
      </w:r>
      <w:r w:rsidRPr="195E3F56">
        <w:rPr>
          <w:lang w:val="en-US"/>
        </w:rPr>
        <w:t xml:space="preserve">, </w:t>
      </w:r>
      <w:r w:rsidRPr="195E3F56">
        <w:rPr>
          <w:i/>
          <w:lang w:val="en-US"/>
        </w:rPr>
        <w:t>51</w:t>
      </w:r>
      <w:r w:rsidRPr="195E3F56">
        <w:rPr>
          <w:lang w:val="en-US"/>
        </w:rPr>
        <w:t xml:space="preserve">(2), 245–270. </w:t>
      </w:r>
      <w:r w:rsidRPr="195E3F56">
        <w:rPr>
          <w:lang w:val="en-US"/>
        </w:rPr>
        <w:t>https://doi.org/10.17438/978-3-402-25662-6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Müller, U. IJ. (Ed.), &amp; Müller, J. (2021). </w:t>
      </w:r>
      <w:r w:rsidRPr="195E3F56">
        <w:rPr>
          <w:i/>
          <w:lang w:val="en-US"/>
        </w:rPr>
        <w:t>Körper-Kränkungen: Der menschliche Leib als Medium der Herabsetzung</w:t>
      </w:r>
      <w:r w:rsidRPr="195E3F56">
        <w:rPr>
          <w:lang w:val="en-US"/>
        </w:rPr>
        <w:t>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Israel, U.</w:t>
      </w:r>
      <w:r w:rsidRPr="195E3F56">
        <w:rPr>
          <w:lang w:val="en-US"/>
        </w:rPr>
        <w:t>, &amp; Müller, J.</w:t>
      </w:r>
      <w:r w:rsidRPr="195E3F56">
        <w:rPr>
          <w:lang w:val="en-US"/>
        </w:rPr>
        <w:t xml:space="preserve"> (Eds.) (2021). </w:t>
      </w:r>
      <w:r w:rsidRPr="195E3F56">
        <w:rPr>
          <w:i/>
          <w:lang w:val="en-US"/>
        </w:rPr>
        <w:t>Körper-Kränkungen: Der menschliche Leib als Medium der Herabsetzung, Veranstaltung</w:t>
      </w:r>
      <w:r w:rsidRPr="195E3F56">
        <w:rPr>
          <w:lang w:val="en-US"/>
        </w:rPr>
        <w:t xml:space="preserve">. Campus Frankfurt / New York. </w:t>
      </w:r>
      <w:r w:rsidRPr="195E3F56">
        <w:rPr>
          <w:lang w:val="en-US"/>
        </w:rPr>
        <w:t>https://www.campus.de/e-books/wissenschaft/geschichte/koerper_kraenkungen-16977.html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 (2021). </w:t>
      </w:r>
      <w:r w:rsidRPr="195E3F56">
        <w:rPr>
          <w:lang w:val="en-US"/>
        </w:rPr>
        <w:t>Philipp of Harveng’s Writings for Religious Instruction (Quinque Responsiones): New Observations on their Transmission, with an Edition of the Previously Unknown Prologue to the Responsio de Silentio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Analecta Praemonstratensia</w:t>
      </w:r>
      <w:r w:rsidRPr="195E3F56">
        <w:rPr>
          <w:lang w:val="en-US"/>
        </w:rPr>
        <w:t xml:space="preserve">, </w:t>
      </w:r>
      <w:r w:rsidRPr="195E3F56">
        <w:rPr>
          <w:i/>
          <w:lang w:val="en-US"/>
        </w:rPr>
        <w:t>97</w:t>
      </w:r>
      <w:r w:rsidRPr="195E3F56">
        <w:rPr>
          <w:lang w:val="en-US"/>
        </w:rPr>
        <w:t>, 19–37.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 (2021). </w:t>
      </w:r>
      <w:r w:rsidRPr="195E3F56">
        <w:rPr>
          <w:lang w:val="en-US"/>
        </w:rPr>
        <w:t>Was ein Prämonstratenser wissen muss: Philipp von Harveng und sein Werk „Über die Unterweisung der Kleriker“</w:t>
      </w:r>
      <w:r w:rsidRPr="195E3F56">
        <w:rPr>
          <w:lang w:val="en-US"/>
        </w:rPr>
        <w:t xml:space="preserve">. In C.-P. Hasse, G. Köster, &amp; B. Schneidmüller (Eds.), </w:t>
      </w:r>
      <w:r w:rsidRPr="195E3F56">
        <w:rPr>
          <w:i/>
          <w:lang w:val="en-US"/>
        </w:rPr>
        <w:t xml:space="preserve">Mit Bibel und Spaten: 900 Jahre Prämonstratenser-Orden </w:t>
      </w:r>
      <w:r w:rsidRPr="195E3F56">
        <w:rPr>
          <w:lang w:val="en-US"/>
        </w:rPr>
        <w:t xml:space="preserve">(pp. 164–175). Mitteldeutscher Verlag.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, &amp; Melville, G. (Eds.) (2020). </w:t>
      </w:r>
      <w:r w:rsidRPr="195E3F56">
        <w:rPr>
          <w:i/>
          <w:lang w:val="en-US"/>
        </w:rPr>
        <w:t>Between Community and Seclusion: Defining the Religious Life in the South Asian Traditions, in Buddhism, and in Eastern and Western Christianity</w:t>
      </w:r>
      <w:r w:rsidRPr="195E3F56">
        <w:rPr>
          <w:lang w:val="en-US"/>
        </w:rPr>
        <w:t>. Lit Verlag. Vita regularis : Ordnungen und Deutungen religiosen Lebens im Mittelalter ; Abhandlungen Vol. 79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, &amp; Melville, G. (Eds.) (2020). </w:t>
      </w:r>
      <w:r w:rsidRPr="195E3F56">
        <w:rPr>
          <w:i/>
          <w:lang w:val="en-US"/>
        </w:rPr>
        <w:t>Die Wirkmacht klösterlichen Lebens: Modelle, Ordnungen, Kompetenzen, Konzepte</w:t>
      </w:r>
      <w:r w:rsidRPr="195E3F56">
        <w:rPr>
          <w:lang w:val="en-US"/>
        </w:rPr>
        <w:t>. Schnell &amp; Steiner. Klöster als Innovationslabore : Studien und Texte Vol. 6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, &amp; Sonntag, J. (Eds.) (2020). </w:t>
      </w:r>
      <w:r w:rsidRPr="195E3F56">
        <w:rPr>
          <w:i/>
          <w:lang w:val="en-US"/>
        </w:rPr>
        <w:t>Disorder: Expressions of an Amorphous Phenomenon in Human History</w:t>
      </w:r>
      <w:r w:rsidRPr="195E3F56">
        <w:rPr>
          <w:lang w:val="en-US"/>
        </w:rPr>
        <w:t>. Aschendorff.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 (2019). </w:t>
      </w:r>
      <w:r w:rsidRPr="195E3F56">
        <w:rPr>
          <w:i/>
          <w:lang w:val="en-US"/>
        </w:rPr>
        <w:t>Die Benediktiner: Geschichte, Lebensformen, Spiritualität</w:t>
      </w:r>
      <w:r w:rsidRPr="195E3F56">
        <w:rPr>
          <w:lang w:val="en-US"/>
        </w:rPr>
        <w:t>. C.H. Beck Verlag, München. C.H.Beck Wissen Vol. 2894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U., &amp; Matzerath, J. (2019). </w:t>
      </w:r>
      <w:r w:rsidRPr="195E3F56">
        <w:rPr>
          <w:i/>
          <w:lang w:val="en-US"/>
        </w:rPr>
        <w:t>Geschichte der sächsischen Landtage</w:t>
      </w:r>
      <w:r w:rsidRPr="195E3F56">
        <w:rPr>
          <w:lang w:val="en-US"/>
        </w:rPr>
        <w:t xml:space="preserve">. Jan Thorbecke Verlag. </w:t>
      </w:r>
      <w:r w:rsidRPr="195E3F56">
        <w:rPr>
          <w:lang w:val="en-US"/>
        </w:rPr>
        <w:t>http://katalog.ub.uni-heidelberg.de/titel/68428602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V.</w:t>
      </w:r>
      <w:r w:rsidRPr="195E3F56">
        <w:rPr>
          <w:lang w:val="en-US"/>
        </w:rPr>
        <w:t xml:space="preserve">, &amp; Polo de Beaulieu, M. A. (2019). </w:t>
      </w:r>
      <w:r w:rsidRPr="195E3F56">
        <w:rPr>
          <w:lang w:val="en-US"/>
        </w:rPr>
        <w:t>Lire et faire lire des recueils d’exempla: entre persuasion cistercienne et efficace dominicaine</w:t>
      </w:r>
      <w:r w:rsidRPr="195E3F56">
        <w:rPr>
          <w:lang w:val="en-US"/>
        </w:rPr>
        <w:t xml:space="preserve">. In L. Evdokimova (Ed.), </w:t>
      </w:r>
      <w:r w:rsidRPr="195E3F56">
        <w:rPr>
          <w:i/>
          <w:lang w:val="en-US"/>
        </w:rPr>
        <w:t xml:space="preserve">Aspects sociaux des littératures médiévales. Texte et situation communicative au Moyen Âge </w:t>
      </w:r>
      <w:r w:rsidRPr="195E3F56">
        <w:rPr>
          <w:lang w:val="en-US"/>
        </w:rPr>
        <w:t xml:space="preserve">(pp. 133-154). Classiques Garnier.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, &amp; Schmidt, C. (Eds.) (2019). </w:t>
      </w:r>
      <w:r w:rsidRPr="195E3F56">
        <w:rPr>
          <w:i/>
          <w:lang w:val="en-US"/>
        </w:rPr>
        <w:t>Medialität und Praxis des Gebets</w:t>
      </w:r>
      <w:r w:rsidRPr="195E3F56">
        <w:rPr>
          <w:lang w:val="en-US"/>
        </w:rPr>
        <w:t>. de Gruyter. Das Mittelalter. Perspektiven mediävistischer Forschung Vol. 24 No. 2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V.</w:t>
      </w:r>
      <w:r w:rsidRPr="195E3F56">
        <w:rPr>
          <w:lang w:val="en-US"/>
        </w:rPr>
        <w:t xml:space="preserve">, &amp; Polo de Beaulieu, M. A. (2019). </w:t>
      </w:r>
      <w:r w:rsidRPr="195E3F56">
        <w:rPr>
          <w:lang w:val="en-US"/>
        </w:rPr>
        <w:t>Prêcher par l’image dans la Russie des xviie-xviiie siècle: L’exemple de la femme au dragon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Revue des études slaves</w:t>
      </w:r>
      <w:r w:rsidRPr="195E3F56">
        <w:rPr>
          <w:lang w:val="en-US"/>
        </w:rPr>
        <w:t xml:space="preserve">, </w:t>
      </w:r>
      <w:r w:rsidRPr="195E3F56">
        <w:rPr>
          <w:i/>
          <w:lang w:val="en-US"/>
        </w:rPr>
        <w:t>2019</w:t>
      </w:r>
      <w:r w:rsidRPr="195E3F56">
        <w:rPr>
          <w:lang w:val="en-US"/>
        </w:rPr>
        <w:t xml:space="preserve">(XC-3), 333-348. </w:t>
      </w:r>
      <w:r w:rsidRPr="195E3F56">
        <w:rPr>
          <w:lang w:val="en-US"/>
        </w:rPr>
        <w:t>https://doi.org/10.4000/res.2891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Hänchen, M. (2017). </w:t>
      </w:r>
      <w:r w:rsidRPr="195E3F56">
        <w:rPr>
          <w:i/>
          <w:lang w:val="en-US"/>
        </w:rPr>
        <w:t>Todesfurcht und Jenseitshoffnung: Seelgerätstiftungen durch Geistlichkeit, Adel und Bürgertum des Bistums Passau im Spiegel der Urkundenüberlieferung des 14. Jahrhunderts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>https://tud.qucosa.de/landing-page/?tx_dlf[id]=https%3A%2F%2Ftud.qucosa.de%2Fapi%2Fqucosa%253A82612%2Fmets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U., &amp; Matzerath, J. (Eds.) (2017). </w:t>
      </w:r>
      <w:r w:rsidRPr="195E3F56">
        <w:rPr>
          <w:i/>
          <w:lang w:val="en-US"/>
        </w:rPr>
        <w:t>Studien und Schriften zur Geschichte der sächsischen Landtage</w:t>
      </w:r>
      <w:r w:rsidRPr="195E3F56">
        <w:rPr>
          <w:lang w:val="en-US"/>
        </w:rPr>
        <w:t>. Jan Thorbecke Verlag.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 (2017). </w:t>
      </w:r>
      <w:r w:rsidRPr="195E3F56">
        <w:rPr>
          <w:i/>
          <w:lang w:val="en-US"/>
        </w:rPr>
        <w:t>Vier Arten des Gewissens: Spuren eines Ordnungsschemas vom Mittelalter bis in die Moderne, mit Edition des Traktats De quattuor modis conscientiarum</w:t>
      </w:r>
      <w:r w:rsidRPr="195E3F56">
        <w:rPr>
          <w:lang w:val="en-US"/>
        </w:rPr>
        <w:t>. Schnell &amp; Steiner. Klöster als Innovationslabore : Studien und Texte Vol. 4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U., &amp; Jaser, C. (2016). </w:t>
      </w:r>
      <w:r w:rsidRPr="195E3F56">
        <w:rPr>
          <w:i/>
          <w:lang w:val="en-US"/>
        </w:rPr>
        <w:t>Agon und Distinktion: Soziale Räume des Zweikampfs zwischen Mittelalter und Neuzeit</w:t>
      </w:r>
      <w:r w:rsidRPr="195E3F56">
        <w:rPr>
          <w:lang w:val="en-US"/>
        </w:rPr>
        <w:t>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V.</w:t>
      </w:r>
      <w:r w:rsidRPr="195E3F56">
        <w:rPr>
          <w:lang w:val="en-US"/>
        </w:rPr>
        <w:t xml:space="preserve"> (2015). </w:t>
      </w:r>
      <w:r w:rsidRPr="195E3F56">
        <w:rPr>
          <w:lang w:val="en-US"/>
        </w:rPr>
        <w:t>Caesarius of Heisterbach Following the Rules of Rhetoric (nor Not?)</w:t>
      </w:r>
      <w:r w:rsidRPr="195E3F56">
        <w:rPr>
          <w:lang w:val="en-US"/>
        </w:rPr>
        <w:t xml:space="preserve">. In V. Smirnova, M. A. Polo de Beaulieu, &amp; J. Berlioz (Eds.), </w:t>
      </w:r>
      <w:r w:rsidRPr="195E3F56">
        <w:rPr>
          <w:i/>
          <w:lang w:val="en-US"/>
        </w:rPr>
        <w:t xml:space="preserve">The Art of Cistercian Persuasion in the Middle Ages and Beyond: Caesarius of Heisterbach’s Dialogue on Miracles and its Reception </w:t>
      </w:r>
      <w:r w:rsidRPr="195E3F56">
        <w:rPr>
          <w:lang w:val="en-US"/>
        </w:rPr>
        <w:t xml:space="preserve">(pp. 79.96). Brill, Leiden.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Melville, G., Vogt-Spira, G.</w:t>
      </w:r>
      <w:r w:rsidRPr="195E3F56">
        <w:rPr>
          <w:lang w:val="en-US"/>
        </w:rPr>
        <w:t>, &amp; Breitenstein, M.</w:t>
      </w:r>
      <w:r w:rsidRPr="195E3F56">
        <w:rPr>
          <w:lang w:val="en-US"/>
        </w:rPr>
        <w:t xml:space="preserve"> (Eds.) (2015). </w:t>
      </w:r>
      <w:r w:rsidRPr="195E3F56">
        <w:rPr>
          <w:i/>
          <w:lang w:val="en-US"/>
        </w:rPr>
        <w:t>Europäische Grundbegriffe im Wandel: Sorge</w:t>
      </w:r>
      <w:r w:rsidRPr="195E3F56">
        <w:rPr>
          <w:lang w:val="en-US"/>
        </w:rPr>
        <w:t xml:space="preserve">. Böhlau Verlag. Europäische Grundbegriffe im Wandel: Verlangen nach Vollkommenheit Vol. 2 </w:t>
      </w:r>
      <w:r w:rsidRPr="195E3F56">
        <w:rPr>
          <w:lang w:val="en-US"/>
        </w:rPr>
        <w:t>https://doi.org/10.7788/9783412502324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, Burkhardt, J., Burkhardt, S., &amp; Sonntag, J. (Eds.) (2015). </w:t>
      </w:r>
      <w:r w:rsidRPr="195E3F56">
        <w:rPr>
          <w:i/>
          <w:lang w:val="en-US"/>
        </w:rPr>
        <w:t>Identität und Gemeinschaft: Vier Zugänge zu Eigengeschichten und Selbstbildern institutioneller Ordnungen im Mittelalter</w:t>
      </w:r>
      <w:r w:rsidRPr="195E3F56">
        <w:rPr>
          <w:lang w:val="en-US"/>
        </w:rPr>
        <w:t>. Lit Verlag. Vita regularis : Ordnungen und Deutungen religiosen Lebens im Mittelalter ; Abhandlungen Vol. 67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V.</w:t>
      </w:r>
      <w:r w:rsidRPr="195E3F56">
        <w:rPr>
          <w:lang w:val="en-US"/>
        </w:rPr>
        <w:t xml:space="preserve"> (2015). </w:t>
      </w:r>
      <w:r w:rsidRPr="195E3F56">
        <w:rPr>
          <w:lang w:val="en-US"/>
        </w:rPr>
        <w:t>Narrative Theology in Caesarius of Heisterbach’s Dialogus miraculorum</w:t>
      </w:r>
      <w:r w:rsidRPr="195E3F56">
        <w:rPr>
          <w:lang w:val="en-US"/>
        </w:rPr>
        <w:t xml:space="preserve">. In V. Smirnova, M. A. Polo de Beaulieu, &amp; J. Berlioz (Eds.), </w:t>
      </w:r>
      <w:r w:rsidRPr="195E3F56">
        <w:rPr>
          <w:i/>
          <w:lang w:val="en-US"/>
        </w:rPr>
        <w:t xml:space="preserve">The Art of Cistercian Persuasion in the Middle Ages and Beyond: Caesarius of Heisterbach’s Dialogue on Miracles and its Reception </w:t>
      </w:r>
      <w:r w:rsidRPr="195E3F56">
        <w:rPr>
          <w:lang w:val="en-US"/>
        </w:rPr>
        <w:t xml:space="preserve">(pp. 121-142). Brill, Leiden.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V.</w:t>
      </w:r>
      <w:r w:rsidRPr="195E3F56">
        <w:rPr>
          <w:lang w:val="en-US"/>
        </w:rPr>
        <w:t xml:space="preserve"> (2014). </w:t>
      </w:r>
      <w:r w:rsidRPr="195E3F56">
        <w:rPr>
          <w:lang w:val="en-US"/>
        </w:rPr>
        <w:t>De l'histoire à la rhétorique. Les recueils d'exempla cisterciens du Moyen Âge tardif</w:t>
      </w:r>
      <w:r w:rsidRPr="195E3F56">
        <w:rPr>
          <w:lang w:val="en-US"/>
        </w:rPr>
        <w:t xml:space="preserve">. In V. Smirnova, &amp; L. Evdokimova (Eds.), </w:t>
      </w:r>
      <w:r w:rsidRPr="195E3F56">
        <w:rPr>
          <w:i/>
          <w:lang w:val="en-US"/>
        </w:rPr>
        <w:t xml:space="preserve">L'Œuvre littéraire du Moyen Âge aux yeux de l'historien et du philologue </w:t>
      </w:r>
      <w:r w:rsidRPr="195E3F56">
        <w:rPr>
          <w:lang w:val="en-US"/>
        </w:rPr>
        <w:t xml:space="preserve">(pp. 393-408). Classiques Garnier. </w:t>
      </w:r>
      <w:r w:rsidRPr="195E3F56">
        <w:rPr>
          <w:lang w:val="en-US"/>
        </w:rPr>
        <w:t>https://doi.org/10.15122/isbn.978-2-8124-2129-7.p.0393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Melville, G., Vogt-Spira, G.</w:t>
      </w:r>
      <w:r w:rsidRPr="195E3F56">
        <w:rPr>
          <w:lang w:val="en-US"/>
        </w:rPr>
        <w:t>, &amp; Breitenstein, M.</w:t>
      </w:r>
      <w:r w:rsidRPr="195E3F56">
        <w:rPr>
          <w:lang w:val="en-US"/>
        </w:rPr>
        <w:t xml:space="preserve"> (Eds.) (2014). </w:t>
      </w:r>
      <w:r w:rsidRPr="195E3F56">
        <w:rPr>
          <w:i/>
          <w:lang w:val="en-US"/>
        </w:rPr>
        <w:t>Europäische Grundbegriffe im Wandel: Gerechtigkeit</w:t>
      </w:r>
      <w:r w:rsidRPr="195E3F56">
        <w:rPr>
          <w:lang w:val="en-US"/>
        </w:rPr>
        <w:t>. Böhlau Verlag. Europäische Grundbegriffe im Wandel: Verlangen nach Vollkommenheit Vol. 1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Melville, G.</w:t>
      </w:r>
      <w:r w:rsidRPr="195E3F56">
        <w:rPr>
          <w:lang w:val="en-US"/>
        </w:rPr>
        <w:t>, Breitenstein, M. (Ed.)</w:t>
      </w:r>
      <w:r w:rsidRPr="195E3F56">
        <w:rPr>
          <w:lang w:val="en-US"/>
        </w:rPr>
        <w:t xml:space="preserve">, &amp; Andenna, C. (Ed.) (2014). </w:t>
      </w:r>
      <w:r w:rsidRPr="195E3F56">
        <w:rPr>
          <w:i/>
          <w:lang w:val="en-US"/>
        </w:rPr>
        <w:t>Frommer Eifer und methodischer Betrieb: Beiträge zum mittelalterlichen Mönchtum</w:t>
      </w:r>
      <w:r w:rsidRPr="195E3F56">
        <w:rPr>
          <w:lang w:val="en-US"/>
        </w:rPr>
        <w:t>. Böhlau Verlag.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V.</w:t>
      </w:r>
      <w:r w:rsidRPr="195E3F56">
        <w:rPr>
          <w:lang w:val="en-US"/>
        </w:rPr>
        <w:t xml:space="preserve"> (2014). </w:t>
      </w:r>
      <w:r w:rsidRPr="195E3F56">
        <w:rPr>
          <w:lang w:val="en-US"/>
        </w:rPr>
        <w:t>L'Histoire de Barlaam et Josaphat: transformations et transpositions d'un recueil de fables enchâssées dans la littérature exemplaire</w:t>
      </w:r>
      <w:r w:rsidRPr="195E3F56">
        <w:rPr>
          <w:lang w:val="en-US"/>
        </w:rPr>
        <w:t xml:space="preserve">. In M. Uhlig, &amp; Y. Foehr-Janssens (Eds.), </w:t>
      </w:r>
      <w:r w:rsidRPr="195E3F56">
        <w:rPr>
          <w:i/>
          <w:lang w:val="en-US"/>
        </w:rPr>
        <w:t xml:space="preserve">D'Orient en Occident: les recueils de fables enchâssées avant les Mille et une Nuits de Galland ; (Barlaam et Josaphat, Calila et Dimna, Disciplina clericalis, Roman des Sept Sages) </w:t>
      </w:r>
      <w:r w:rsidRPr="195E3F56">
        <w:rPr>
          <w:lang w:val="en-US"/>
        </w:rPr>
        <w:t xml:space="preserve">(pp. 79-112). Brepols Publishers.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Evdokimova, L.</w:t>
      </w:r>
      <w:r w:rsidRPr="195E3F56">
        <w:rPr>
          <w:lang w:val="en-US"/>
        </w:rPr>
        <w:t>, &amp; Smirnova, V.</w:t>
      </w:r>
      <w:r w:rsidRPr="195E3F56">
        <w:rPr>
          <w:lang w:val="en-US"/>
        </w:rPr>
        <w:t xml:space="preserve"> (Eds.) (2014). </w:t>
      </w:r>
      <w:r w:rsidRPr="195E3F56">
        <w:rPr>
          <w:i/>
          <w:lang w:val="en-US"/>
        </w:rPr>
        <w:t>L'Œuvre littéraire du Moyen Âge aux yeux de l'historien et du philologue</w:t>
      </w:r>
      <w:r w:rsidRPr="195E3F56">
        <w:rPr>
          <w:lang w:val="en-US"/>
        </w:rPr>
        <w:t xml:space="preserve">. Classiques Garnier. </w:t>
      </w:r>
      <w:r w:rsidRPr="195E3F56">
        <w:rPr>
          <w:lang w:val="en-US"/>
        </w:rPr>
        <w:t>https://doi.org/10.15122/isbn.978-2-8124-2129-7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, Burkhardt, J., Burkhardt, S., &amp; Röhrkasten, J. (Eds.) (2014). </w:t>
      </w:r>
      <w:r w:rsidRPr="195E3F56">
        <w:rPr>
          <w:i/>
          <w:lang w:val="en-US"/>
        </w:rPr>
        <w:t>Rules and Observance: Devising Forms of Communal Life</w:t>
      </w:r>
      <w:r w:rsidRPr="195E3F56">
        <w:rPr>
          <w:lang w:val="en-US"/>
        </w:rPr>
        <w:t>. Lit Verlag. Vita regularis : Ordnungen und Deutungen religiosen Lebens im Mittelalter ; Abhandlungen Vol. 60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U., &amp; Jaser, C. (2014). </w:t>
      </w:r>
      <w:r w:rsidRPr="195E3F56">
        <w:rPr>
          <w:lang w:val="en-US"/>
        </w:rPr>
        <w:t>Zweikämpfer: Fechtmeister – Kämpen – Samurai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Das Mittelalter : Perspektiven mediävistischer Forschung ; Zeitschrift des Mediävistenverbandes</w:t>
      </w:r>
      <w:r w:rsidRPr="195E3F56">
        <w:rPr>
          <w:lang w:val="en-US"/>
        </w:rPr>
        <w:t>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Schreiner, K.</w:t>
      </w:r>
      <w:r w:rsidRPr="195E3F56">
        <w:rPr>
          <w:lang w:val="en-US"/>
        </w:rPr>
        <w:t>, Breitenstein, M. (Ed.)</w:t>
      </w:r>
      <w:r w:rsidRPr="195E3F56">
        <w:rPr>
          <w:lang w:val="en-US"/>
        </w:rPr>
        <w:t xml:space="preserve">, &amp; Melville, G. (Ed.) (2013). </w:t>
      </w:r>
      <w:r w:rsidRPr="195E3F56">
        <w:rPr>
          <w:i/>
          <w:lang w:val="en-US"/>
        </w:rPr>
        <w:t>Gemeinsam leben: Spiritualität, Lebens- und Verfassungsformen klösterlicher Gemeinschaften in Kirche und Gesellschaft des Mittelalters</w:t>
      </w:r>
      <w:r w:rsidRPr="195E3F56">
        <w:rPr>
          <w:lang w:val="en-US"/>
        </w:rPr>
        <w:t>. Lit Verlag. Vita regularis : Ordnungen und Deutungen religiosen Lebens im Mittelalter. Abhandlungen Vol. 53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V.</w:t>
      </w:r>
      <w:r w:rsidRPr="195E3F56">
        <w:rPr>
          <w:lang w:val="en-US"/>
        </w:rPr>
        <w:t xml:space="preserve"> (2013). </w:t>
      </w:r>
      <w:r w:rsidRPr="195E3F56">
        <w:rPr>
          <w:lang w:val="en-US"/>
        </w:rPr>
        <w:t>L’exemplum médiéval dans une perspective codicologique (XIIe-XVe siècle)</w:t>
      </w:r>
      <w:r w:rsidRPr="195E3F56">
        <w:rPr>
          <w:lang w:val="en-US"/>
        </w:rPr>
        <w:t xml:space="preserve">. </w:t>
      </w:r>
      <w:r w:rsidRPr="195E3F56">
        <w:rPr>
          <w:i/>
          <w:lang w:val="en-US"/>
        </w:rPr>
        <w:t>Revue Mabillon : revue internationale d'histoire et de littératures religieuses</w:t>
      </w:r>
      <w:r w:rsidRPr="195E3F56">
        <w:rPr>
          <w:lang w:val="en-US"/>
        </w:rPr>
        <w:t xml:space="preserve">, </w:t>
      </w:r>
      <w:r w:rsidRPr="195E3F56">
        <w:rPr>
          <w:i/>
          <w:lang w:val="en-US"/>
        </w:rPr>
        <w:t>24</w:t>
      </w:r>
      <w:r w:rsidRPr="195E3F56">
        <w:rPr>
          <w:lang w:val="en-US"/>
        </w:rPr>
        <w:t xml:space="preserve">, 27-59. </w:t>
      </w:r>
      <w:r w:rsidRPr="195E3F56">
        <w:rPr>
          <w:lang w:val="en-US"/>
        </w:rPr>
        <w:t>https://doi.org/10.1484/J.RM.5.102492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U., &amp; Matheus, M. (2013). </w:t>
      </w:r>
      <w:r w:rsidRPr="195E3F56">
        <w:rPr>
          <w:i/>
          <w:lang w:val="en-US"/>
        </w:rPr>
        <w:t>Protestanten zwischen Venedig und Rom in der Frühen Neuzeit</w:t>
      </w:r>
      <w:r w:rsidRPr="195E3F56">
        <w:rPr>
          <w:lang w:val="en-US"/>
        </w:rPr>
        <w:t>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U., &amp; Schmidt, O. J. (Eds.) (2013). </w:t>
      </w:r>
      <w:r w:rsidRPr="195E3F56">
        <w:rPr>
          <w:i/>
          <w:lang w:val="en-US"/>
        </w:rPr>
        <w:t>Venezia e Dalmazia</w:t>
      </w:r>
      <w:r w:rsidRPr="195E3F56">
        <w:rPr>
          <w:lang w:val="en-US"/>
        </w:rPr>
        <w:t>. Venetiana : collana dal Centro Tedesco di Studi Veneziani Vol. 12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, Burkhardt, S., &amp; Dücker, J. (Eds.) (2012). </w:t>
      </w:r>
      <w:r w:rsidRPr="195E3F56">
        <w:rPr>
          <w:i/>
          <w:lang w:val="en-US"/>
        </w:rPr>
        <w:t>Innovation in Klöstern und Orden des Hohen Mittelalters: Aspekte und Pragmatik eines Begriffs</w:t>
      </w:r>
      <w:r w:rsidRPr="195E3F56">
        <w:rPr>
          <w:lang w:val="en-US"/>
        </w:rPr>
        <w:t>. Lit Verlag. Vita regularis : Ordnungen und Deutungen religiosen Lebens im Mittelalter. Abhandlungen Vol. 48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Smirnova, V.</w:t>
      </w:r>
      <w:r w:rsidRPr="195E3F56">
        <w:rPr>
          <w:lang w:val="en-US"/>
        </w:rPr>
        <w:t xml:space="preserve"> (2012). </w:t>
      </w:r>
      <w:r w:rsidRPr="195E3F56">
        <w:rPr>
          <w:lang w:val="en-US"/>
        </w:rPr>
        <w:t>No Way to Salvation for German Bishops? The Case of Saint Engelbert of Cologne</w:t>
      </w:r>
      <w:r w:rsidRPr="195E3F56">
        <w:rPr>
          <w:lang w:val="en-US"/>
        </w:rPr>
        <w:t xml:space="preserve">. In J. S. Ott, &amp; T. Vedriš (Eds.), </w:t>
      </w:r>
      <w:r w:rsidRPr="195E3F56">
        <w:rPr>
          <w:i/>
          <w:lang w:val="en-US"/>
        </w:rPr>
        <w:t xml:space="preserve">Saintly bishops and bishops' saints </w:t>
      </w:r>
      <w:r w:rsidRPr="195E3F56">
        <w:rPr>
          <w:lang w:val="en-US"/>
        </w:rPr>
        <w:t xml:space="preserve">(pp. 184-201). Hagioteca.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U., Jütte, R., &amp; Müller, R. C. (2011). </w:t>
      </w:r>
      <w:r w:rsidRPr="195E3F56">
        <w:rPr>
          <w:i/>
          <w:lang w:val="en-US"/>
        </w:rPr>
        <w:t>„Interstitzi" all’età moderna: Culture ebraicocristiane a Venezia e nei suoi domini dal medioevo</w:t>
      </w:r>
      <w:r w:rsidRPr="195E3F56">
        <w:rPr>
          <w:lang w:val="en-US"/>
        </w:rPr>
        <w:t>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 (Ed.) (2011). </w:t>
      </w:r>
      <w:r w:rsidRPr="195E3F56">
        <w:rPr>
          <w:i/>
          <w:lang w:val="en-US"/>
        </w:rPr>
        <w:t>Venezia. I giorni della storia</w:t>
      </w:r>
      <w:r w:rsidRPr="195E3F56">
        <w:rPr>
          <w:lang w:val="en-US"/>
        </w:rPr>
        <w:t>. Venetiana : collana dal Centro Tedesco di Studi Veneziani Vol. 9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 (Ed.) (2010). </w:t>
      </w:r>
      <w:r w:rsidRPr="195E3F56">
        <w:rPr>
          <w:i/>
          <w:lang w:val="en-US"/>
        </w:rPr>
        <w:t>Intorno all’Olimpiade di Baldassare Galuppi con altri saggi di argomento veneziano: Venetiana</w:t>
      </w:r>
      <w:r w:rsidRPr="195E3F56">
        <w:rPr>
          <w:lang w:val="en-US"/>
        </w:rPr>
        <w:t>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U., &amp; Ortalli, G. (2009). </w:t>
      </w:r>
      <w:r w:rsidRPr="195E3F56">
        <w:rPr>
          <w:i/>
          <w:lang w:val="en-US"/>
        </w:rPr>
        <w:t>Il duello fra medioevo ed età moderna: Tagungsakten (Deutsches Studienzentrum in Venedig 2007)</w:t>
      </w:r>
      <w:r w:rsidRPr="195E3F56">
        <w:rPr>
          <w:lang w:val="en-US"/>
        </w:rPr>
        <w:t>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Butz, R., &amp; Hänchen, M. (2009). </w:t>
      </w:r>
      <w:r w:rsidRPr="195E3F56">
        <w:rPr>
          <w:lang w:val="en-US"/>
        </w:rPr>
        <w:t>Reflexionen über formelle und informelle Strukturen bei der Übertragung der sächsischen Kurwürde auf Markgraf Friedrich IV. von Meißen im Jahre 1423</w:t>
      </w:r>
      <w:r w:rsidRPr="195E3F56">
        <w:rPr>
          <w:lang w:val="en-US"/>
        </w:rPr>
        <w:t xml:space="preserve">. In R. Butz (Ed.), </w:t>
      </w:r>
      <w:r w:rsidRPr="195E3F56">
        <w:rPr>
          <w:i/>
          <w:lang w:val="en-US"/>
        </w:rPr>
        <w:t xml:space="preserve">Informelle Strukturen bei Hofe: Ergebnisse des gleichnamigen Kolloquiums auf der Moritzburg bei Dresden, 27. bis 29. September 2007 </w:t>
      </w:r>
      <w:r w:rsidRPr="195E3F56">
        <w:rPr>
          <w:lang w:val="en-US"/>
        </w:rPr>
        <w:t xml:space="preserve">(pp. 91-132). 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</w:t>
      </w:r>
      <w:r w:rsidRPr="195E3F56">
        <w:rPr>
          <w:lang w:val="en-US"/>
        </w:rPr>
        <w:t xml:space="preserve"> (2008). </w:t>
      </w:r>
      <w:r w:rsidRPr="195E3F56">
        <w:rPr>
          <w:i/>
          <w:lang w:val="en-US"/>
        </w:rPr>
        <w:t>Das Noviziat im hohen Mittelalter: Zur Organisation des Eintrittes bei den Cluniazensern, Cisterziensern und Franziskanern</w:t>
      </w:r>
      <w:r w:rsidRPr="195E3F56">
        <w:rPr>
          <w:lang w:val="en-US"/>
        </w:rPr>
        <w:t>. Lit Verlag. Vita regularis : Ordnungen und Deutungen religiosen Lebens im Mittelalter ; Abhandlungen Vol. 38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 (2008). </w:t>
      </w:r>
      <w:r w:rsidRPr="195E3F56">
        <w:rPr>
          <w:i/>
          <w:lang w:val="en-US"/>
        </w:rPr>
        <w:t>La diversa visuale</w:t>
      </w:r>
      <w:r w:rsidRPr="195E3F56">
        <w:rPr>
          <w:lang w:val="en-US"/>
        </w:rPr>
        <w:t>.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U., Cantù, P., Testa, I., &amp; Bohn, A. (Eds.) (2008). </w:t>
      </w:r>
      <w:r w:rsidRPr="195E3F56">
        <w:rPr>
          <w:i/>
          <w:lang w:val="en-US"/>
        </w:rPr>
        <w:t>Venezia doppia</w:t>
      </w:r>
      <w:r w:rsidRPr="195E3F56">
        <w:rPr>
          <w:lang w:val="en-US"/>
        </w:rPr>
        <w:t xml:space="preserve">. Ed. Leonhardi. </w:t>
      </w:r>
      <w:r w:rsidRPr="195E3F56">
        <w:rPr>
          <w:lang w:val="en-US"/>
        </w:rPr>
        <w:t>http://www.worldcat.org/oclc/432320636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 (Ed.) (2006). </w:t>
      </w:r>
      <w:r w:rsidRPr="195E3F56">
        <w:rPr>
          <w:i/>
          <w:lang w:val="en-US"/>
        </w:rPr>
        <w:t>Vita communis und ethnische Vielfalt: Vita regularis</w:t>
      </w:r>
      <w:r w:rsidRPr="195E3F56">
        <w:rPr>
          <w:lang w:val="en-US"/>
        </w:rPr>
        <w:t xml:space="preserve">. Lit Verlag. </w:t>
      </w:r>
      <w:r w:rsidRPr="195E3F56">
        <w:rPr>
          <w:lang w:val="en-US"/>
        </w:rPr>
        <w:t>http://katalog.ub.uni-heidelberg.de/titel/66202964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Andenna, G.</w:t>
      </w:r>
      <w:r w:rsidRPr="195E3F56">
        <w:rPr>
          <w:lang w:val="en-US"/>
        </w:rPr>
        <w:t>, Breitenstein, M.</w:t>
      </w:r>
      <w:r w:rsidRPr="195E3F56">
        <w:rPr>
          <w:lang w:val="en-US"/>
        </w:rPr>
        <w:t xml:space="preserve">, &amp; Melville, G. (Eds.) (2005). </w:t>
      </w:r>
      <w:r w:rsidRPr="195E3F56">
        <w:rPr>
          <w:i/>
          <w:lang w:val="en-US"/>
        </w:rPr>
        <w:t>Charisma und religiöse Gemeinschaften im Mittelalter: Akten des 3. Internationalen Kongresses des “Italienisch-deutschen Zentrums für Vergleichende Ordensgeschichte” in Verbindung mit Projekt C “Institutionelle Strukturen religiöser Orden im Mittelalter” und Projekt W “Stadtkultur und Klosterkultur in der mittelalterlichen Lombardei. Institutionelle Wechselwirkung zweier politischer und sozialer Felder” des Sonderforschungsbereichs 537 “Institutionalität und Geschicht-lichkeit” (Dresden, 10.–12. Juni 2004)</w:t>
      </w:r>
      <w:r w:rsidRPr="195E3F56">
        <w:rPr>
          <w:lang w:val="en-US"/>
        </w:rPr>
        <w:t>. Lit Verlag. Vita regularis : Ordnungen und Deutungen religiosen Lebens im Mittelalter. Abhandlungen Vol. 26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>Breitenstein, M. (Ed.)</w:t>
      </w:r>
      <w:r w:rsidRPr="195E3F56">
        <w:rPr>
          <w:lang w:val="en-US"/>
        </w:rPr>
        <w:t xml:space="preserve"> (2004). </w:t>
      </w:r>
      <w:r w:rsidRPr="195E3F56">
        <w:rPr>
          <w:i/>
          <w:lang w:val="en-US"/>
        </w:rPr>
        <w:t>De novitiis instruendis: Text und Kontext eines anonymen Traktates vom Ende des 12. Jahrhunderts</w:t>
      </w:r>
      <w:r w:rsidRPr="195E3F56">
        <w:rPr>
          <w:lang w:val="en-US"/>
        </w:rPr>
        <w:t>. Lit Verlag. Vita regularis : Ordnungen und Deutungen religiosen Lebens im Mittelalter : Editionen Vol. 1</w:t>
      </w:r>
    </w:p>
    <w:p w:rsidRDefault="195E3F56" w:rsidR="195E3F56" w:rsidRPr="195E3F56" w:rsidP="195E3F56">
      <w:pPr/>
      <w:r w:rsidRPr="195E3F56">
        <w:rPr>
          <w:lang w:val="en-US"/>
        </w:rPr>
      </w:r>
    </w:p>
    <w:p w:rsidRDefault="195E3F56" w:rsidR="195E3F56" w:rsidRPr="195E3F56" w:rsidP="195E3F56">
      <w:pPr>
        <w:pStyle w:val="body"/>
        <w:color w:val="000000"/>
      </w:pPr>
      <w:r w:rsidRPr="195E3F56">
        <w:rPr>
          <w:lang w:val="en-US"/>
        </w:rPr>
        <w:t xml:space="preserve">Israel, U. (Ed.), Boockmann, H., Neitzert, D. (Ed.), &amp; Schubert, E. (Ed.) (2000). </w:t>
      </w:r>
      <w:r w:rsidRPr="195E3F56">
        <w:rPr>
          <w:i/>
          <w:lang w:val="en-US"/>
        </w:rPr>
        <w:t>Wege ins Mittelalter</w:t>
      </w:r>
      <w:r w:rsidRPr="195E3F56">
        <w:rPr>
          <w:lang w:val="en-US"/>
        </w:rPr>
        <w:t xml:space="preserve">. </w:t>
      </w:r>
      <w:r w:rsidRPr="195E3F56">
        <w:rPr>
          <w:lang w:val="en-US"/>
        </w:rPr>
        <w:t>http://opac.regesta-imperii.de/id/172081</w:t>
      </w:r>
    </w:p>
    <w:p w:rsidRDefault="195E3F56" w:rsidR="195E3F56" w:rsidRPr="195E3F56" w:rsidP="195E3F56">
      <w:pPr/>
      <w:r w:rsidRPr="195E3F56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3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2025-03-29T23:11:06Z</dcterms:created>
  <dc:creator>anonymous, forschungsinformationen@tu-dresden.de User</dc:creator>
  <dcterms:modified xsi:type="dcterms:W3CDTF">2025-03-29T23:11:06Z</dcterms:modified>
  <cp:revision>1</cp:revision>
</cp:coreProperties>
</file>