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7F68" w:rsidR="195F7F68" w:rsidRPr="195F7F68" w:rsidP="195F7F68">
      <w:pPr>
        <w:pStyle w:val="ReportElementTitle"/>
        <w:color w:val="666666"/>
      </w:pPr>
      <w:r w:rsidRPr="195F7F68">
        <w:rPr>
          <w:lang w:val="en-US"/>
        </w:rPr>
        <w:t>Publikationen</w:t>
      </w:r>
    </w:p>
    <w:p w:rsidRDefault="195F7F68" w:rsidR="195F7F68" w:rsidRPr="195F7F68" w:rsidP="195F7F68">
      <w:pPr>
        <w:pStyle w:val="body"/>
        <w:color w:val="000000"/>
      </w:pPr>
      <w:r w:rsidRPr="195F7F68">
        <w:rPr>
          <w:lang w:val="en-US"/>
        </w:rPr>
        <w:t>Stützer, CM</w:t>
      </w:r>
      <w:r w:rsidRPr="195F7F68">
        <w:rPr>
          <w:lang w:val="en-US"/>
        </w:rPr>
        <w:t>, Köhler, T</w:t>
      </w:r>
      <w:r w:rsidRPr="195F7F68">
        <w:rPr>
          <w:lang w:val="en-US"/>
        </w:rPr>
        <w:t xml:space="preserve"> &amp; Thiem, G 2012, </w:t>
      </w:r>
      <w:r w:rsidRPr="195F7F68">
        <w:rPr>
          <w:lang w:val="en-US"/>
        </w:rPr>
        <w:t>Formen der Kollaboration in Wissensnetzwerken</w:t>
      </w:r>
      <w:r w:rsidRPr="195F7F68">
        <w:rPr>
          <w:lang w:val="en-US"/>
        </w:rPr>
        <w:t xml:space="preserve">. in </w:t>
      </w:r>
      <w:r w:rsidRPr="195F7F68">
        <w:rPr>
          <w:i/>
          <w:lang w:val="en-US"/>
        </w:rPr>
        <w:t>Communities in New Media: Virtual Enterprises, Research Communities and Social Media Networks - 15. Workshop GeNeMe 2012, Gemeinschaften in Neuen Medien.</w:t>
      </w:r>
      <w:r w:rsidRPr="195F7F68">
        <w:rPr>
          <w:lang w:val="en-US"/>
        </w:rPr>
        <w:t xml:space="preserve"> TUDpress/Thelem Universitätsverlag, 15. Workshop GeNeMe‘12 Gemeinschaften in Neuen Medien, S. 105-120, 15th Workshop on Communities in New Media: Virtual Enterprises, Research Communities and Social Media Networks, GeNeMe 2012, Dresden, Deutschland, </w:t>
      </w:r>
      <w:r w:rsidRPr="195F7F68">
        <w:rPr>
          <w:lang w:val="en-US"/>
        </w:rPr>
        <w:t>4 Okt. 2012</w:t>
      </w:r>
      <w:r w:rsidRPr="195F7F68">
        <w:rPr>
          <w:lang w:val="en-US"/>
        </w:rPr>
        <w:t>. &lt;</w:t>
      </w:r>
      <w:r w:rsidRPr="195F7F68">
        <w:rPr>
          <w:lang w:val="en-US"/>
        </w:rPr>
        <w:t>https://nbn-resolving.org/urn:nbn:de:bsz:14-qucosa-101044</w:t>
      </w:r>
      <w:r w:rsidRPr="195F7F68">
        <w:rPr>
          <w:lang w:val="en-US"/>
        </w:rPr>
        <w:t>&gt;</w:t>
      </w:r>
    </w:p>
    <w:p w:rsidRDefault="195F7F68" w:rsidR="195F7F68" w:rsidRPr="195F7F68" w:rsidP="195F7F68">
      <w:pPr/>
      <w:r w:rsidRPr="195F7F68">
        <w:rPr>
          <w:lang w:val="en-US"/>
        </w:rPr>
      </w:r>
    </w:p>
    <w:p w:rsidRDefault="195F7F68" w:rsidR="195F7F68" w:rsidRPr="195F7F68" w:rsidP="195F7F68">
      <w:pPr>
        <w:pStyle w:val="body"/>
        <w:color w:val="000000"/>
      </w:pPr>
      <w:r w:rsidRPr="195F7F68">
        <w:rPr>
          <w:lang w:val="en-US"/>
        </w:rPr>
        <w:t>Albrecht, S</w:t>
      </w:r>
      <w:r w:rsidRPr="195F7F68">
        <w:rPr>
          <w:lang w:val="en-US"/>
        </w:rPr>
        <w:t>, Köhler, T</w:t>
      </w:r>
      <w:r w:rsidRPr="195F7F68">
        <w:rPr>
          <w:lang w:val="en-US"/>
        </w:rPr>
        <w:t xml:space="preserve"> &amp; Kahnwald et al., N 2011, '</w:t>
      </w:r>
      <w:r w:rsidRPr="195F7F68">
        <w:rPr>
          <w:lang w:val="en-US"/>
        </w:rPr>
        <w:t>Web 2.0 in der akademischen Praxis: Herausforderungen und strategische Optionen</w:t>
      </w:r>
      <w:r w:rsidRPr="195F7F68">
        <w:rPr>
          <w:lang w:val="en-US"/>
        </w:rPr>
        <w:t>'. &lt;</w:t>
      </w:r>
      <w:r w:rsidRPr="195F7F68">
        <w:rPr>
          <w:lang w:val="en-US"/>
        </w:rPr>
        <w:t>http://nbn-resolving.de/urn:nbn:de:bsz:14-qucosa-76583</w:t>
      </w:r>
      <w:r w:rsidRPr="195F7F68">
        <w:rPr>
          <w:lang w:val="en-US"/>
        </w:rPr>
        <w:t>&gt;</w:t>
      </w:r>
    </w:p>
    <w:p w:rsidRDefault="195F7F68" w:rsidR="195F7F68" w:rsidRPr="195F7F68" w:rsidP="195F7F68">
      <w:pPr/>
      <w:r w:rsidRPr="195F7F68">
        <w:rPr>
          <w:lang w:val="en-US"/>
        </w:rPr>
      </w:r>
    </w:p>
    <w:p w:rsidRDefault="195F7F68" w:rsidR="195F7F68" w:rsidRPr="195F7F68" w:rsidP="195F7F68">
      <w:pPr>
        <w:pStyle w:val="body"/>
        <w:color w:val="000000"/>
      </w:pPr>
      <w:r w:rsidRPr="195F7F68">
        <w:rPr>
          <w:lang w:val="en-US"/>
        </w:rPr>
        <w:t>Köhler, T</w:t>
      </w:r>
      <w:r w:rsidRPr="195F7F68">
        <w:rPr>
          <w:lang w:val="en-US"/>
        </w:rPr>
        <w:t xml:space="preserve"> &amp; Flitter, H (Hrsg.) 2007, </w:t>
      </w:r>
      <w:r w:rsidRPr="195F7F68">
        <w:rPr>
          <w:i/>
          <w:lang w:val="en-US"/>
        </w:rPr>
        <w:t>Medienpsychologische Forschung in der Wissensgesellschaft: Abstractband zur 5. Tagung der Fachgruppe Medienpsychologie der Deutschen Gesellschaft für Psychologie</w:t>
      </w:r>
      <w:r w:rsidRPr="195F7F68">
        <w:rPr>
          <w:lang w:val="en-US"/>
        </w:rPr>
        <w:t>. TUDpress/Thelem Universitätsverlag, Dresden.</w:t>
      </w:r>
    </w:p>
    <w:p w:rsidRDefault="195F7F68" w:rsidR="195F7F68" w:rsidRPr="195F7F68" w:rsidP="195F7F68">
      <w:pPr/>
      <w:r w:rsidRPr="195F7F68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7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2025-04-02T21:24:42Z</dcterms:created>
  <dc:creator>anonymous, forschungsinformationen@tu-dresden.de Nutzer:in</dc:creator>
  <dcterms:modified xsi:type="dcterms:W3CDTF">2025-04-02T21:24:42Z</dcterms:modified>
  <cp:revision>1</cp:revision>
</cp:coreProperties>
</file>