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B5B" w:rsidR="195EEB5B" w:rsidRPr="195EEB5B" w:rsidP="195EEB5B">
      <w:pPr>
        <w:pStyle w:val="ReportElementTitle"/>
        <w:color w:val="666666"/>
      </w:pPr>
      <w:r w:rsidRPr="195EEB5B">
        <w:rPr>
          <w:lang w:val="en-US"/>
        </w:rPr>
        <w:t>Publikationen</w:t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Agyepong L</w:t>
      </w:r>
      <w:r w:rsidRPr="195EEB5B">
        <w:rPr>
          <w:lang w:val="en-US"/>
        </w:rPr>
        <w:t>, Kuuwill A</w:t>
      </w:r>
      <w:r w:rsidRPr="195EEB5B">
        <w:rPr>
          <w:lang w:val="en-US"/>
        </w:rPr>
        <w:t xml:space="preserve">, Kimengsi JN, Darfor KN, Ampomah S, Evans K, Gbogbolu A, Attado GN, Charles AK. 2024. </w:t>
      </w:r>
      <w:r w:rsidRPr="195EEB5B">
        <w:rPr>
          <w:lang w:val="en-US"/>
        </w:rPr>
        <w:t>Household Consumption Expenditure Determinants Across Poverty Subgroups in Sub-Sahara Africa: Evidence from the Ghanaian Living Standard Survey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ournal of poverty : innovations on social, political &amp; economic inequalities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https://doi.org/10.1080/10875549.2024.2338164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Kühne T, Sachse H, Schwick N</w:t>
      </w:r>
      <w:r w:rsidRPr="195EEB5B">
        <w:rPr>
          <w:lang w:val="en-US"/>
        </w:rPr>
        <w:t>, Niethammer M</w:t>
      </w:r>
      <w:r w:rsidRPr="195EEB5B">
        <w:rPr>
          <w:lang w:val="en-US"/>
        </w:rPr>
        <w:t xml:space="preserve">. 2024. </w:t>
      </w:r>
      <w:r w:rsidRPr="195EEB5B">
        <w:rPr>
          <w:lang w:val="en-US"/>
        </w:rPr>
        <w:t>Domänenspezifische Qualitätssicherung im gewerblich-technischen Lehramt</w:t>
      </w:r>
      <w:r w:rsidRPr="195EEB5B">
        <w:rPr>
          <w:lang w:val="en-US"/>
        </w:rPr>
        <w:t>. Grimm A, Herkner V, Karges T, Schlausch R, Hrsg. in Dekarbonisierung, Digitalisierung, Demographie: Gestaltungsanspruch für gewerblich-technische Facharbeit und Bildung. Flensburg: Peter Lang. S. 507-518.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Hartmann MD</w:t>
      </w:r>
      <w:r w:rsidRPr="195EEB5B">
        <w:rPr>
          <w:lang w:val="en-US"/>
        </w:rPr>
        <w:t>, Klein A</w:t>
      </w:r>
      <w:r w:rsidRPr="195EEB5B">
        <w:rPr>
          <w:lang w:val="en-US"/>
        </w:rPr>
        <w:t xml:space="preserve">. 2024. </w:t>
      </w:r>
      <w:r w:rsidRPr="195EEB5B">
        <w:rPr>
          <w:lang w:val="en-US"/>
        </w:rPr>
        <w:t>Forschendes/Problemorientiertes Lernen in der Lehrendenbildung: Evaluation eines komplexen Lernaufgabenkonzepts für Lernfelder/-situationen</w:t>
      </w:r>
      <w:r w:rsidRPr="195EEB5B">
        <w:rPr>
          <w:lang w:val="en-US"/>
        </w:rPr>
        <w:t>. Grimm A, Herkner V, Karges T, Schlausch R, Hrsg. in Dekarbonisierung, Digitalisierung, Demographie: Gestaltungsanspruch für gewerblich-technische Facharbeit und Bildung. Berlin. S. 371-383.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Hartmann MD, Haseloff G. 2024. </w:t>
      </w:r>
      <w:r w:rsidRPr="195EEB5B">
        <w:rPr>
          <w:lang w:val="en-US"/>
        </w:rPr>
        <w:t>Von der Aufgabenstellung zur vollständigen Handlung</w:t>
      </w:r>
      <w:r w:rsidRPr="195EEB5B">
        <w:rPr>
          <w:lang w:val="en-US"/>
        </w:rPr>
        <w:t xml:space="preserve">. Grimm A, Herkner V, Karges T, Schlausch R, Hrsg. in Dekarbonisierung, Digitalisierung, Demographie: Gestaltungsanspruch für gewerblich-technische Facharbeit und Bildung. Berlin: Peter Lang Internationaler Verlag der Wissenschaften. S. 493-505. ( Perspektiven auf Berufsbildung, Arbeit und Technik, Band 9). </w:t>
      </w:r>
      <w:r w:rsidRPr="195EEB5B">
        <w:rPr>
          <w:lang w:val="en-US"/>
        </w:rPr>
        <w:t>https://doi.org/10.3726/b21167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Biswas B, Mallick B, Ahsan N, Priodarshini R. 2022. </w:t>
      </w:r>
      <w:r w:rsidRPr="195EEB5B">
        <w:rPr>
          <w:lang w:val="en-US"/>
        </w:rPr>
        <w:t>How Does the Rohingya Influx Influence the Residential Satisfaction and Mobility Intentions of the Host Communities in Bangladesh?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Journal of International Migration and Integration</w:t>
      </w:r>
      <w:r w:rsidRPr="195EEB5B">
        <w:rPr>
          <w:lang w:val="en-US"/>
        </w:rPr>
        <w:t xml:space="preserve">. 23(3):1311-1340. </w:t>
      </w:r>
      <w:r w:rsidRPr="195EEB5B">
        <w:rPr>
          <w:lang w:val="en-US"/>
        </w:rPr>
        <w:t>https://doi.org/10.1007/s12134-021-00886-2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Baberowski D</w:t>
      </w:r>
      <w:r w:rsidRPr="195EEB5B">
        <w:rPr>
          <w:lang w:val="en-US"/>
        </w:rPr>
        <w:t xml:space="preserve">, Leonhardt T, Damnik G, Rentsch S, Bergner N. 2021. </w:t>
      </w:r>
      <w:r w:rsidRPr="195EEB5B">
        <w:rPr>
          <w:lang w:val="en-US"/>
        </w:rPr>
        <w:t>Aufbau informatischer Kompetenzen im Kontext KI bei Lehramtsstudierenden des Faches Politik</w:t>
      </w:r>
      <w:r w:rsidRPr="195EEB5B">
        <w:rPr>
          <w:lang w:val="en-US"/>
        </w:rPr>
        <w:t>. Desel J, Opel S, Siegeris J, Hrsg. in 9. Fachtagung Hochschuldidaktik Informatik (HDI) 2021. S. 93 - 100.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Arp A, Gebauer R, Lindenberger T, Warnecke ML. 2021. </w:t>
      </w:r>
      <w:r w:rsidRPr="195EEB5B">
        <w:rPr>
          <w:lang w:val="en-US"/>
        </w:rPr>
        <w:t>Politically motivated adoptions in the German Democratic Republic: Definitions and profiles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Annales de démographie historique : ADH</w:t>
      </w:r>
      <w:r w:rsidRPr="195EEB5B">
        <w:rPr>
          <w:lang w:val="en-US"/>
        </w:rPr>
        <w:t xml:space="preserve">. 142(2):81-108. </w:t>
      </w:r>
      <w:r w:rsidRPr="195EEB5B">
        <w:rPr>
          <w:lang w:val="en-US"/>
        </w:rPr>
        <w:t>https://doi.org/10.3917/adh.142.0081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Viader Soler A, Schäfer A, Illig A, Welk NJ, Schuster G, Kießling F, Wacker F, Krämer JC, Hrsg. 2020. </w:t>
      </w:r>
      <w:r w:rsidRPr="195EEB5B">
        <w:rPr>
          <w:lang w:val="en-US"/>
        </w:rPr>
        <w:t>Der Friedhof ein Garten: Entwicklungskonzeption für die Friedhöfe der Stadt Bad Liebenwerda in Brandenburg</w:t>
      </w:r>
      <w:r w:rsidRPr="195EEB5B">
        <w:rPr>
          <w:lang w:val="en-US"/>
        </w:rPr>
        <w:t>. 118 S.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 xml:space="preserve">Heidrich S. 2018. </w:t>
      </w:r>
      <w:r w:rsidRPr="195EEB5B">
        <w:rPr>
          <w:lang w:val="en-US"/>
        </w:rPr>
        <w:t>Die Demografie der Jüdischen Gemeinde zu Dresden zwischen Wiederaufbau und Fluchtbewegung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 xml:space="preserve"> Medaon : Magazin für jüdisches Leben in Forschung und Bildung / Hrsg.: HATiKVA, Bildungs- und Begegnungsstätte für Jüdische Geschichte und Kultur Sachsen e.V.</w:t>
      </w:r>
      <w:r w:rsidRPr="195EEB5B">
        <w:rPr>
          <w:lang w:val="en-US"/>
        </w:rPr>
        <w:t xml:space="preserve"> 12(22).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Cygan-Rehm K</w:t>
      </w:r>
      <w:r w:rsidRPr="195EEB5B">
        <w:rPr>
          <w:lang w:val="en-US"/>
        </w:rPr>
        <w:t xml:space="preserve">. 2016. </w:t>
      </w:r>
      <w:r w:rsidRPr="195EEB5B">
        <w:rPr>
          <w:lang w:val="en-US"/>
        </w:rPr>
        <w:t>Parental leave benefit and differential fertility responses: evidence from a German reform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Journal of Population Economics</w:t>
      </w:r>
      <w:r w:rsidRPr="195EEB5B">
        <w:rPr>
          <w:lang w:val="en-US"/>
        </w:rPr>
        <w:t xml:space="preserve">. 29(1):73-103. </w:t>
      </w:r>
      <w:r w:rsidRPr="195EEB5B">
        <w:rPr>
          <w:lang w:val="en-US"/>
        </w:rPr>
        <w:t>https://doi.org/10.1007/s00148-015-0562-z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Menold N</w:t>
      </w:r>
      <w:r w:rsidRPr="195EEB5B">
        <w:rPr>
          <w:lang w:val="en-US"/>
        </w:rPr>
        <w:t xml:space="preserve">. 2016. </w:t>
      </w:r>
      <w:r w:rsidRPr="195EEB5B">
        <w:rPr>
          <w:lang w:val="en-US"/>
        </w:rPr>
        <w:t>Postal Surveys (Version 2.0)</w:t>
      </w:r>
      <w:r w:rsidRPr="195EEB5B">
        <w:rPr>
          <w:lang w:val="en-US"/>
        </w:rPr>
        <w:t xml:space="preserve">. in GESIS Survey Guidelines. </w:t>
      </w:r>
      <w:r w:rsidRPr="195EEB5B">
        <w:rPr>
          <w:lang w:val="en-US"/>
        </w:rPr>
        <w:t>https://doi.org/10.15465/gesis-sg_en_018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Neuert C, Otto W, Stiegler A, Beitz C, Schmidt R, Meitinger K</w:t>
      </w:r>
      <w:r w:rsidRPr="195EEB5B">
        <w:rPr>
          <w:lang w:val="en-US"/>
        </w:rPr>
        <w:t>, Menold N</w:t>
      </w:r>
      <w:r w:rsidRPr="195EEB5B">
        <w:rPr>
          <w:lang w:val="en-US"/>
        </w:rPr>
        <w:t xml:space="preserve">. 2016. </w:t>
      </w:r>
      <w:r w:rsidRPr="195EEB5B">
        <w:rPr>
          <w:lang w:val="en-US"/>
        </w:rPr>
        <w:t>SHARE Gatekeeper-Project: Cognitive Pretest</w:t>
      </w:r>
      <w:r w:rsidRPr="195EEB5B">
        <w:rPr>
          <w:lang w:val="en-US"/>
        </w:rPr>
        <w:t xml:space="preserve">. in Cognitive Pretests Datenbank. </w:t>
      </w:r>
      <w:r w:rsidRPr="195EEB5B">
        <w:rPr>
          <w:lang w:val="en-US"/>
        </w:rPr>
        <w:t>https://doi.org/10.17173/pretest37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Meyer F</w:t>
      </w:r>
      <w:r w:rsidRPr="195EEB5B">
        <w:rPr>
          <w:lang w:val="en-US"/>
        </w:rPr>
        <w:t xml:space="preserve">, Miggelbrink J, Schwarzenberg T. 2016. </w:t>
      </w:r>
      <w:r w:rsidRPr="195EEB5B">
        <w:rPr>
          <w:lang w:val="en-US"/>
        </w:rPr>
        <w:t>Reflecting on the margins: Socio-spatial stigmatisation among adolescents in a peripheralised region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Comparative Population Studies</w:t>
      </w:r>
      <w:r w:rsidRPr="195EEB5B">
        <w:rPr>
          <w:lang w:val="en-US"/>
        </w:rPr>
        <w:t xml:space="preserve">. 41(3-4):285-320. </w:t>
      </w:r>
      <w:r w:rsidRPr="195EEB5B">
        <w:rPr>
          <w:lang w:val="en-US"/>
        </w:rPr>
        <w:t>https://doi.org/10.12765/CPoS-2016-10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Ahrens G-A</w:t>
      </w:r>
      <w:r w:rsidRPr="195EEB5B">
        <w:rPr>
          <w:lang w:val="en-US"/>
        </w:rPr>
        <w:t>, Hubrich S</w:t>
      </w:r>
      <w:r w:rsidRPr="195EEB5B">
        <w:rPr>
          <w:lang w:val="en-US"/>
        </w:rPr>
        <w:t>, Ließke F</w:t>
      </w:r>
      <w:r w:rsidRPr="195EEB5B">
        <w:rPr>
          <w:lang w:val="en-US"/>
        </w:rPr>
        <w:t>, Wittig S</w:t>
      </w:r>
      <w:r w:rsidRPr="195EEB5B">
        <w:rPr>
          <w:lang w:val="en-US"/>
        </w:rPr>
        <w:t>, Wittwer R</w:t>
      </w:r>
      <w:r w:rsidRPr="195EEB5B">
        <w:rPr>
          <w:lang w:val="en-US"/>
        </w:rPr>
        <w:t xml:space="preserve">. 2015. </w:t>
      </w:r>
      <w:r w:rsidRPr="195EEB5B">
        <w:rPr>
          <w:lang w:val="en-US"/>
        </w:rPr>
        <w:t>Ergebnisse der Haushaltsbefragung „Mobilität in Städten – SrV 2013“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Straßenverkehrstechnik</w:t>
      </w:r>
      <w:r w:rsidRPr="195EEB5B">
        <w:rPr>
          <w:lang w:val="en-US"/>
        </w:rPr>
        <w:t>. 2015(7):462-468.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Halling T</w:t>
      </w:r>
      <w:r w:rsidRPr="195EEB5B">
        <w:rPr>
          <w:lang w:val="en-US"/>
        </w:rPr>
        <w:t>, Fehlemann S</w:t>
      </w:r>
      <w:r w:rsidRPr="195EEB5B">
        <w:rPr>
          <w:lang w:val="en-US"/>
        </w:rPr>
        <w:t xml:space="preserve">, Vögele J. 2012. </w:t>
      </w:r>
      <w:r w:rsidRPr="195EEB5B">
        <w:rPr>
          <w:lang w:val="en-US"/>
        </w:rPr>
        <w:t>Der vorzeitige Tod als Identitäts- und Sinnstiftungsmuster in historischer Perspektive: einige einführende Überlegungen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 xml:space="preserve">Historical social research : HSR-Retrospective (HSR-Retro) </w:t>
      </w:r>
      <w:r w:rsidRPr="195EEB5B">
        <w:rPr>
          <w:lang w:val="en-US"/>
        </w:rPr>
        <w:t xml:space="preserve">. 34(4):9-19. </w:t>
      </w:r>
      <w:r w:rsidRPr="195EEB5B">
        <w:rPr>
          <w:lang w:val="en-US"/>
        </w:rPr>
        <w:t>https://doi.org/10.12759/hsr.34.2009.4.9-19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Ebertz A, Kriese M</w:t>
      </w:r>
      <w:r w:rsidRPr="195EEB5B">
        <w:rPr>
          <w:lang w:val="en-US"/>
        </w:rPr>
        <w:t>, Thum M</w:t>
      </w:r>
      <w:r w:rsidRPr="195EEB5B">
        <w:rPr>
          <w:lang w:val="en-US"/>
        </w:rPr>
        <w:t xml:space="preserve"> 2008. </w:t>
      </w:r>
      <w:r w:rsidRPr="195EEB5B">
        <w:rPr>
          <w:lang w:val="en-US"/>
        </w:rPr>
        <w:t>Bewertung von lokalen Standortfaktoren für Haushalte und Unternehmen in Sachsen – Entwicklung von Indikatoren zur Überprüfung der Demographietauglichkeit von Förderprojekten der Sächsischen Aufbaubank - ifo dresden studien 46</w:t>
      </w:r>
      <w:r w:rsidRPr="195EEB5B">
        <w:rPr>
          <w:lang w:val="en-US"/>
        </w:rPr>
        <w:t>.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Brehmer Y</w:t>
      </w:r>
      <w:r w:rsidRPr="195EEB5B">
        <w:rPr>
          <w:lang w:val="en-US"/>
        </w:rPr>
        <w:t>, Li SC</w:t>
      </w:r>
      <w:r w:rsidRPr="195EEB5B">
        <w:rPr>
          <w:lang w:val="en-US"/>
        </w:rPr>
        <w:t xml:space="preserve">, Müller V, Von Oertzen T, Lindenberger U. 2007. </w:t>
      </w:r>
      <w:r w:rsidRPr="195EEB5B">
        <w:rPr>
          <w:lang w:val="en-US"/>
        </w:rPr>
        <w:t>Memory plasticity across the life span: Uncovering children's latent potential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Developmental psychology</w:t>
      </w:r>
      <w:r w:rsidRPr="195EEB5B">
        <w:rPr>
          <w:lang w:val="en-US"/>
        </w:rPr>
        <w:t xml:space="preserve">. 43(2):465-478. </w:t>
      </w:r>
      <w:r w:rsidRPr="195EEB5B">
        <w:rPr>
          <w:lang w:val="en-US"/>
        </w:rPr>
        <w:t>https://doi.org/10.1037/0012-1649.43.2.465</w:t>
      </w:r>
    </w:p>
    <w:p w:rsidRDefault="195EEB5B" w:rsidR="195EEB5B" w:rsidRPr="195EEB5B" w:rsidP="195EEB5B">
      <w:pPr/>
      <w:r w:rsidRPr="195EEB5B">
        <w:rPr>
          <w:lang w:val="en-US"/>
        </w:rPr>
      </w:r>
    </w:p>
    <w:p w:rsidRDefault="195EEB5B" w:rsidR="195EEB5B" w:rsidRPr="195EEB5B" w:rsidP="195EEB5B">
      <w:pPr>
        <w:pStyle w:val="body"/>
        <w:color w:val="000000"/>
      </w:pPr>
      <w:r w:rsidRPr="195EEB5B">
        <w:rPr>
          <w:lang w:val="en-US"/>
        </w:rPr>
        <w:t>Hommel B, Li KZH</w:t>
      </w:r>
      <w:r w:rsidRPr="195EEB5B">
        <w:rPr>
          <w:lang w:val="en-US"/>
        </w:rPr>
        <w:t>, Li SC</w:t>
      </w:r>
      <w:r w:rsidRPr="195EEB5B">
        <w:rPr>
          <w:lang w:val="en-US"/>
        </w:rPr>
        <w:t xml:space="preserve">. 2004. </w:t>
      </w:r>
      <w:r w:rsidRPr="195EEB5B">
        <w:rPr>
          <w:lang w:val="en-US"/>
        </w:rPr>
        <w:t>Visual search across the life span</w:t>
      </w:r>
      <w:r w:rsidRPr="195EEB5B">
        <w:rPr>
          <w:lang w:val="en-US"/>
        </w:rPr>
        <w:t xml:space="preserve">. </w:t>
      </w:r>
      <w:r w:rsidRPr="195EEB5B">
        <w:rPr>
          <w:lang w:val="en-US"/>
        </w:rPr>
        <w:t>Developmental psychology</w:t>
      </w:r>
      <w:r w:rsidRPr="195EEB5B">
        <w:rPr>
          <w:lang w:val="en-US"/>
        </w:rPr>
        <w:t xml:space="preserve">. 40(4):545-558. </w:t>
      </w:r>
      <w:r w:rsidRPr="195EEB5B">
        <w:rPr>
          <w:lang w:val="en-US"/>
        </w:rPr>
        <w:t>https://doi.org/10.1037/0012-1649.40.4.545</w:t>
      </w:r>
    </w:p>
    <w:p w:rsidRDefault="195EEB5B" w:rsidR="195EEB5B" w:rsidRPr="195EEB5B" w:rsidP="195EEB5B">
      <w:pPr/>
      <w:r w:rsidRPr="195EEB5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2025-04-01T02:17:20Z</dcterms:created>
  <dc:creator>anonymous, forschungsinformationen@tu-dresden.de Nutzer:in</dc:creator>
  <dcterms:modified xsi:type="dcterms:W3CDTF">2025-04-01T02:17:20Z</dcterms:modified>
  <cp:revision>1</cp:revision>
</cp:coreProperties>
</file>