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EECA" w:rsidR="195EEECA" w:rsidRPr="195EEECA" w:rsidP="195EEECA">
      <w:pPr>
        <w:pStyle w:val="ReportElementTitle"/>
        <w:color w:val="666666"/>
      </w:pPr>
      <w:r w:rsidRPr="195EEECA">
        <w:rPr>
          <w:lang w:val="en-US"/>
        </w:rPr>
        <w:t>Publikationen</w:t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Bobbe, T.</w:t>
      </w:r>
      <w:r w:rsidRPr="195EEECA">
        <w:rPr>
          <w:lang w:val="en-US"/>
        </w:rPr>
        <w:t>, Opeskin, L. S.</w:t>
      </w:r>
      <w:r w:rsidRPr="195EEECA">
        <w:rPr>
          <w:lang w:val="en-US"/>
        </w:rPr>
        <w:t>, Lüneburg, L.-M.</w:t>
      </w:r>
      <w:r w:rsidRPr="195EEECA">
        <w:rPr>
          <w:lang w:val="en-US"/>
        </w:rPr>
        <w:t>, Wanta, H.</w:t>
      </w:r>
      <w:r w:rsidRPr="195EEECA">
        <w:rPr>
          <w:lang w:val="en-US"/>
        </w:rPr>
        <w:t>, Pohlmann, J.</w:t>
      </w:r>
      <w:r w:rsidRPr="195EEECA">
        <w:rPr>
          <w:lang w:val="en-US"/>
        </w:rPr>
        <w:t>, &amp; Krzywinski, J.</w:t>
      </w:r>
      <w:r w:rsidRPr="195EEECA">
        <w:rPr>
          <w:lang w:val="en-US"/>
        </w:rPr>
        <w:t xml:space="preserve"> (2023). </w:t>
      </w:r>
      <w:r w:rsidRPr="195EEECA">
        <w:rPr>
          <w:lang w:val="en-US"/>
        </w:rPr>
        <w:t>Design for communication: how do demonstrators demonstrate technology?</w:t>
      </w:r>
      <w:r w:rsidRPr="195EEECA">
        <w:rPr>
          <w:lang w:val="en-US"/>
        </w:rPr>
        <w:t xml:space="preserve"> </w:t>
      </w:r>
      <w:r w:rsidRPr="195EEECA">
        <w:rPr>
          <w:i/>
          <w:lang w:val="en-US"/>
        </w:rPr>
        <w:t>Design Science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9</w:t>
      </w:r>
      <w:r w:rsidRPr="195EEECA">
        <w:rPr>
          <w:lang w:val="en-US"/>
        </w:rPr>
        <w:t xml:space="preserve">(9). </w:t>
      </w:r>
      <w:r w:rsidRPr="195EEECA">
        <w:rPr>
          <w:lang w:val="en-US"/>
        </w:rPr>
        <w:t>https://doi.org/10.1017/dsj.2023.1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M. (2023). </w:t>
      </w:r>
      <w:r w:rsidRPr="195EEECA">
        <w:rPr>
          <w:lang w:val="en-US"/>
        </w:rPr>
        <w:t>Esmeralda Conde Ruiz: Sensitive ears and insensitive infrastructures Part II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2023</w:t>
      </w:r>
      <w:r w:rsidRPr="195EEECA">
        <w:rPr>
          <w:lang w:val="en-US"/>
        </w:rPr>
        <w:t xml:space="preserve">, Artikel e8681. </w:t>
      </w:r>
      <w:r w:rsidRPr="195EEECA">
        <w:rPr>
          <w:lang w:val="en-US"/>
        </w:rPr>
        <w:t>https://doi.org/10.55597/e8681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Schankweiler, K.</w:t>
      </w:r>
      <w:r w:rsidRPr="195EEECA">
        <w:rPr>
          <w:lang w:val="en-US"/>
        </w:rPr>
        <w:t>, &amp; Straub, V.</w:t>
      </w:r>
      <w:r w:rsidRPr="195EEECA">
        <w:rPr>
          <w:lang w:val="en-US"/>
        </w:rPr>
        <w:t xml:space="preserve"> (2023). </w:t>
      </w:r>
      <w:r w:rsidRPr="195EEECA">
        <w:rPr>
          <w:lang w:val="en-US"/>
        </w:rPr>
        <w:t>Bildproteste für die Freiheit im Iran: Die Memefication des Widerstands in den Sozialen Medien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 xml:space="preserve"> 21: inquiries into art, history, and the visual : Beiträge zur Kunstgeschichte und visuellen Kultur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4</w:t>
      </w:r>
      <w:r w:rsidRPr="195EEECA">
        <w:rPr>
          <w:lang w:val="en-US"/>
        </w:rPr>
        <w:t xml:space="preserve">(1), 97-110. </w:t>
      </w:r>
      <w:r w:rsidRPr="195EEECA">
        <w:rPr>
          <w:lang w:val="en-US"/>
        </w:rPr>
        <w:t>https://doi.org/10.11588/xxi.2023.1.93820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M. (2023). </w:t>
      </w:r>
      <w:r w:rsidRPr="195EEECA">
        <w:rPr>
          <w:lang w:val="en-US"/>
        </w:rPr>
        <w:t>Esmeralda Conde Ruiz: Empfindsame Ohren und unempfindliche Infrastrukturen. Teil I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2023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https://doi.org/10.55597/d17820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M. (2023). </w:t>
      </w:r>
      <w:r w:rsidRPr="195EEECA">
        <w:rPr>
          <w:lang w:val="en-US"/>
        </w:rPr>
        <w:t>Esmeralda Conde Ruiz: Empfindsame Ohren und unempfindliche Infrastrukturen. Teil II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2023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https://doi.org/10.55597/d17835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Knufinke, U., Krafczyk, C.</w:t>
      </w:r>
      <w:r w:rsidRPr="195EEECA">
        <w:rPr>
          <w:lang w:val="en-US"/>
        </w:rPr>
        <w:t>, Marx, S.</w:t>
      </w:r>
      <w:r w:rsidRPr="195EEECA">
        <w:rPr>
          <w:lang w:val="en-US"/>
        </w:rPr>
        <w:t>, Monka-Birkner, J.</w:t>
      </w:r>
      <w:r w:rsidRPr="195EEECA">
        <w:rPr>
          <w:lang w:val="en-US"/>
        </w:rPr>
        <w:t xml:space="preserve">, &amp; Reinäcker, M. (2022). </w:t>
      </w:r>
      <w:r w:rsidRPr="195EEECA">
        <w:rPr>
          <w:lang w:val="en-US"/>
        </w:rPr>
        <w:t>Eisenbahnbrücken als »Denkmale im Netz«: Neue Ansätze für die Inventarisation?</w:t>
      </w:r>
      <w:r w:rsidRPr="195EEECA">
        <w:rPr>
          <w:lang w:val="en-US"/>
        </w:rPr>
        <w:t xml:space="preserve"> </w:t>
      </w:r>
      <w:r w:rsidRPr="195EEECA">
        <w:rPr>
          <w:i/>
          <w:lang w:val="en-US"/>
        </w:rPr>
        <w:t>Die Denkmalpflege : wissenschaftliche Zeitschrift der Vereinigung der Landesdenkmalpfleger in der Bundesrepublik Deutschland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80</w:t>
      </w:r>
      <w:r w:rsidRPr="195EEECA">
        <w:rPr>
          <w:lang w:val="en-US"/>
        </w:rPr>
        <w:t xml:space="preserve">(2), 155-161. </w:t>
      </w:r>
      <w:r w:rsidRPr="195EEECA">
        <w:rPr>
          <w:lang w:val="en-US"/>
        </w:rPr>
        <w:t>https://doi.org/10.1515/dkp-2022-2012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M. (2022). </w:t>
      </w:r>
      <w:r w:rsidRPr="195EEECA">
        <w:rPr>
          <w:lang w:val="en-US"/>
        </w:rPr>
        <w:t xml:space="preserve">Esmeralda Conde Ruiz: Sensitive ears and insensitive infrastructures Part I 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2023</w:t>
      </w:r>
      <w:r w:rsidRPr="195EEECA">
        <w:rPr>
          <w:lang w:val="en-US"/>
        </w:rPr>
        <w:t xml:space="preserve">, Artikel e8620. </w:t>
      </w:r>
      <w:r w:rsidRPr="195EEECA">
        <w:rPr>
          <w:lang w:val="en-US"/>
        </w:rPr>
        <w:t>https://doi.org/10.55597/e8620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M. (2022). </w:t>
      </w:r>
      <w:r w:rsidRPr="195EEECA">
        <w:rPr>
          <w:lang w:val="en-US"/>
        </w:rPr>
        <w:t xml:space="preserve">Y(our) Data is a Battleground: Kritische KI-Kunst aus Ostdeutschland 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2022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https://doi.org/10.55597/d16047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Preußger, P.</w:t>
      </w:r>
      <w:r w:rsidRPr="195EEECA">
        <w:rPr>
          <w:lang w:val="en-US"/>
        </w:rPr>
        <w:t xml:space="preserve"> (2021). </w:t>
      </w:r>
      <w:r w:rsidRPr="195EEECA">
        <w:rPr>
          <w:lang w:val="en-US"/>
        </w:rPr>
        <w:t>"Drone Art" zwischen Anschauung und Vermittlung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2021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https://doi.org/10.55597/d15486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Schankweiler, K.</w:t>
      </w:r>
      <w:r w:rsidRPr="195EEECA">
        <w:rPr>
          <w:lang w:val="en-US"/>
        </w:rPr>
        <w:t xml:space="preserve"> (2021). </w:t>
      </w:r>
      <w:r w:rsidRPr="195EEECA">
        <w:rPr>
          <w:lang w:val="en-US"/>
        </w:rPr>
        <w:t>Reaction Images and Metawitnessing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Parallax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26</w:t>
      </w:r>
      <w:r w:rsidRPr="195EEECA">
        <w:rPr>
          <w:lang w:val="en-US"/>
        </w:rPr>
        <w:t xml:space="preserve">(3), 254–270. </w:t>
      </w:r>
      <w:r w:rsidRPr="195EEECA">
        <w:rPr>
          <w:lang w:val="en-US"/>
        </w:rPr>
        <w:t>https://doi.org/10.1080/13534645.2021.1883299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M. (2021). </w:t>
      </w:r>
      <w:r w:rsidRPr="195EEECA">
        <w:rPr>
          <w:lang w:val="en-US"/>
        </w:rPr>
        <w:t>Artificial Intelligence in Society and Art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2021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https://doi.org/10.55597/e6824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M. (2021). </w:t>
      </w:r>
      <w:r w:rsidRPr="195EEECA">
        <w:rPr>
          <w:lang w:val="en-US"/>
        </w:rPr>
        <w:t>Künstliche Intelligenz in Gesellschaft und Kunst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2021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https://doi.org/10.55597/d14984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Schankweiler, K.</w:t>
      </w:r>
      <w:r w:rsidRPr="195EEECA">
        <w:rPr>
          <w:lang w:val="en-US"/>
        </w:rPr>
        <w:t xml:space="preserve">, &amp; Richardson, M. (2020). </w:t>
      </w:r>
      <w:r w:rsidRPr="195EEECA">
        <w:rPr>
          <w:lang w:val="en-US"/>
        </w:rPr>
        <w:t>Introduction: Affective Witnessing as Theory and Practice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Parallax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26</w:t>
      </w:r>
      <w:r w:rsidRPr="195EEECA">
        <w:rPr>
          <w:lang w:val="en-US"/>
        </w:rPr>
        <w:t xml:space="preserve">(3), 235–253. </w:t>
      </w:r>
      <w:r w:rsidRPr="195EEECA">
        <w:rPr>
          <w:lang w:val="en-US"/>
        </w:rPr>
        <w:t>https://doi.org/10.1080/13534645.2021.1883301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Schulz, A., &amp; Schulz, B. (2018). </w:t>
      </w:r>
      <w:r w:rsidRPr="195EEECA">
        <w:rPr>
          <w:i/>
          <w:lang w:val="en-US"/>
        </w:rPr>
        <w:t>GRASSI FUTURE. Visionen für den Leipziger Johannisplatz</w:t>
      </w:r>
      <w:r w:rsidRPr="195EEECA">
        <w:rPr>
          <w:lang w:val="en-US"/>
        </w:rPr>
        <w:t>.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Schankweiler, K.</w:t>
      </w:r>
      <w:r w:rsidRPr="195EEECA">
        <w:rPr>
          <w:lang w:val="en-US"/>
        </w:rPr>
        <w:t xml:space="preserve"> (2016). </w:t>
      </w:r>
      <w:r w:rsidRPr="195EEECA">
        <w:rPr>
          <w:lang w:val="en-US"/>
        </w:rPr>
        <w:t>Affektive Dynamiken von Bildern in Zeiten von Social Media: Bildzeugenschaften aus Ägypten, 2010–2013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 xml:space="preserve"> Kritische Berichte : Zeitschrift für Kunst- und Kulturwissenschaften ; Mitteilungsorgan des Ulmer Vereins - Verband für Kunst- und Kulturwissenschaften e.V.</w:t>
      </w:r>
      <w:r w:rsidRPr="195EEECA">
        <w:rPr>
          <w:lang w:val="en-US"/>
        </w:rPr>
        <w:t xml:space="preserve">, </w:t>
      </w:r>
      <w:r w:rsidRPr="195EEECA">
        <w:rPr>
          <w:i/>
          <w:lang w:val="en-US"/>
        </w:rPr>
        <w:t>44</w:t>
      </w:r>
      <w:r w:rsidRPr="195EEECA">
        <w:rPr>
          <w:lang w:val="en-US"/>
        </w:rPr>
        <w:t xml:space="preserve">(1), 72-85. </w:t>
      </w:r>
      <w:r w:rsidRPr="195EEECA">
        <w:rPr>
          <w:lang w:val="en-US"/>
        </w:rPr>
        <w:t>https://doi.org/10.11588/KB.2016.1.81362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Müller, J.</w:t>
      </w:r>
      <w:r w:rsidRPr="195EEECA">
        <w:rPr>
          <w:lang w:val="en-US"/>
        </w:rPr>
        <w:t xml:space="preserve"> (2015). </w:t>
      </w:r>
      <w:r w:rsidRPr="195EEECA">
        <w:rPr>
          <w:i/>
          <w:lang w:val="en-US"/>
        </w:rPr>
        <w:t>Der sokratische Künstler: Studien zu Rembrandts „Nachtwache“,</w:t>
      </w:r>
      <w:r w:rsidRPr="195EEECA">
        <w:rPr>
          <w:lang w:val="en-US"/>
        </w:rPr>
        <w:t xml:space="preserve"> Brill. Brill's studies on art, art history, and intellectual history Band 235 Nr. 7 </w:t>
      </w:r>
      <w:r w:rsidRPr="195EEECA">
        <w:rPr>
          <w:lang w:val="en-US"/>
        </w:rPr>
        <w:t>https://brill.com/display/title/26963</w:t>
      </w:r>
    </w:p>
    <w:p w:rsidRDefault="195EEECA" w:rsidR="195EEECA" w:rsidRPr="195EEECA" w:rsidP="195EEECA">
      <w:pPr/>
      <w:r w:rsidRPr="195EEECA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E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2025-04-01T03:17:22Z</dcterms:created>
  <dc:creator>anonymous, forschungsinformationen@tu-dresden.de Nutzer:in</dc:creator>
  <dcterms:modified xsi:type="dcterms:W3CDTF">2025-04-01T03:17:22Z</dcterms:modified>
  <cp:revision>1</cp:revision>
</cp:coreProperties>
</file>